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9C_566/2010 vom 25. Februar 2011</w:t>
      </w:r>
    </w:p>
    <w:p>
      <w:r>
        <w:t>Bundesgericht, 2011-02-25, FR</w:t>
      </w:r>
    </w:p>
    <w:p>
      <w:r>
        <w:rPr>
          <w:b/>
        </w:rPr>
        <w:t xml:space="preserve">Quelle: </w:t>
      </w:r>
      <w:r>
        <w:t>https://mcp.opencaselaw.ch/entscheid/bger_9C_566_2010</w:t>
      </w:r>
    </w:p>
    <w:p>
      <w:r>
        <w:t>FR: TF 9C_566/2010 du 25 février 2011</w:t>
      </w:r>
    </w:p>
    <w:p>
      <w:r>
        <w:t>IT: TF 9C_566/2010 del 25 febbraio 2011</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litige porte sur le droit du recourant à la prise en charge par l'assurance obligatoire des soins du traitement médical subi à l'étranger pendant la période du 17 au 19 février 2009.</w:t>
      </w:r>
    </w:p>
    <w:p>
      <w:r>
        <w:rPr>
          <w:b/>
        </w:rPr>
        <w:t>E. 3</w:t>
      </w:r>
    </w:p>
    <w:p>
      <w:r>
        <w:t>Le jugement entrepris expose correctement les règles et principes applicables en cas de traitement à l'étranger ( art. 34 al. 2 LAMal , art. 36 OAMal ; voir ATF 131 V 271 consid. 3.1 et 3.2 p. 274 s.), où s'applique également l'art. 32 al. 1 (1ère phrase) LAMal selon lequel les prestations mentionnées aux art. 25 à 31 doivent être efficaces, appropriées et économiques ( ATF 134 V 330 consid. 2.2 p. 332; GEBHARD EUGSTER, Krankenversicherung, in: Schweizerisches Bundesverwaltungsrecht [SBVR], Soziale Sicherheit, 2ème éd., ch. 483). Il rappelle à bon droit que quand des traitements appropriés sont couramment pratiqués en Suisse et qu'ils correspondent à des protocoles largement reconnus, l'assuré n'a pas droit à la prise en charge d'un traitement à l'étranger en vertu de l' art. 34 al. 2 LAMal .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 ATF 134 V 330 consid. 2.3 p. 333, 131 V 271 consid. 3.2 p. 275). Une interprétation stricte des raisons médicales doit être de mise ( ATF 134 V 330 consid. 2.4 p. 333, 131 V 271 consid. 3.2 p. 275 et la référence à GUY LONGCHAMP, Conditions et étendue du droit aux prestations de l'assurance-maladie sociale, thèse Lausanne 2004, p. 262; dans le même sens EUGSTER, in op. cit., ch. 482).</w:t>
      </w:r>
    </w:p>
    <w:p>
      <w:r>
        <w:rPr>
          <w:b/>
        </w:rPr>
        <w:t>E. 4</w:t>
      </w:r>
    </w:p>
    <w:p>
      <w:r>
        <w:t>La juridiction cantonale a retenu qu'en Suisse, le traitement des schwannomes était couramment pratiqué et correspondait aux protocoles largement reconnus. Ainsi, l'offre thérapeutique en Suisse devait être considérée comme appropriée, même si elle n'était pas la meilleure ou à l'avant-garde. Se ralliant à l'avis du docteur I.________ du 2 mars 2009, l'autorité précédente a relevé que les résultats cliniques obtenus au Centre Gamma Knife de U.________ avec le modèle classique étaient, en comparaison internationale, tout aussi bons et similaires à ceux obtenus avec la version robotisée, en particulier dans les résultats à long terme où il enregistrait moins de 1 % de parésies faciales et une préservation de l'audition de l'ordre de 78 %. Il en résultait que le bénéfice thérapeutique du traitement prodigué au Centre de radio-neurochirurgie Z.________ en France, soit "un gain de 1 % en matière de parésies faciales ou de 3 % en terme d'audition à long terme", ne constituait pas une raison médicale pouvant justifier un traitement à l'étranger.</w:t>
      </w:r>
    </w:p>
    <w:p>
      <w:r>
        <w:rPr>
          <w:b/>
        </w:rPr>
        <w:t>E. 4.1</w:t>
      </w:r>
    </w:p>
    <w:p>
      <w:r>
        <w:t>Le recourant fait valoir que le risque de perte de l'audition constituait dans son cas une raison médicale d'une gravité particulière, puisque la perte de ses facultés auditives l'aurait empêché de continuer à pratiquer comme médecin psychiatre. Il n'est toutefois pas démontré, ainsi que l'a relevé la juridiction cantonale, qu'un traitement par un appareil Gamma Knife classique présenterait effectivement des risques importants et notablement plus élevés qu'un traitement utilisant un appareil Gamma Knife robotisé. Du jugement entrepris, il résulte que le Centre Gamma Knife de U.________ enregistre des résultats en ce qui concerne la préservation de l'audition qui sont à long terme de l'ordre de 78 %, résultats que le recourant ne met pas en doute. Sur le vu des explications du docteur E.________ en ce qui concerne les avantages d'un appareil Gamma Knife robotisé, il apparaît que si le traitement du schwannome vestibulaire avait été effectué au Centre Gamma Knife de U.________, le risque de perte de l'audition pour le recourant n'aurait pas été notablement plus élevé qu'au Centre de radio-neurochirurgie Z.________ en France (sur l'interprétation restrictive des raisons médicales de l' art. 34 al. 2 LAMal , cf. ATF 134 V 330 consid. 4.1 p. 336 s.).</w:t>
      </w:r>
    </w:p>
    <w:p>
      <w:r>
        <w:rPr>
          <w:b/>
        </w:rPr>
        <w:t>E. 4.2</w:t>
      </w:r>
    </w:p>
    <w:p>
      <w:r>
        <w:t>L'autorité précédente a retenu qu'il n'y avait pas d'urgence, du fait que le recourant avait effectué un déplacement volontaire à l'étranger, ce qui excluait précisément tout caractère d'urgence du traitement. Le fait que le recourant, ainsi qu'il le relève, s'est conformé à l'avis du professeur E.________ et s'est rendu à l'étranger sur prescription de ce spécialiste pour y subir un traitement, ne permet pas de faire abstraction du fait qu'il s'est rendu à l'étranger dans le but de suivre le traitement d'un schwannome, ce qui, au regard de l'art. 36 al. 2 dernière phrase OAMal, permet de conclure qu'il n'y avait pas d'urgence.</w:t>
      </w:r>
    </w:p>
    <w:p>
      <w:r>
        <w:rPr>
          <w:b/>
        </w:rPr>
        <w:t>E. 4.3</w:t>
      </w:r>
    </w:p>
    <w:p>
      <w:r>
        <w:t>Du jugement entrepris, il ressort que le médecin-conseil de l'intimée, dans son avis du 12 février 2009 où il se référait à un entretien avec le professeur L.________ de l'Hôpital Universitaire de U.________, a indiqué qu'une thérapie en France n'était pas impérative d'un point de vue médical, que d'un point de vue histologique le neurinome du nerf acoustique était généralement un schwannome et le Gamma Knife autorisé par l'OPAS pour cette indication et que le Linac à l'Hôpital Universitaire de U.________ constituait une alternative thérapeutique, l'accélérateur linéaire permettant également de traiter le problème selon les règles de l'art. Il résulte également du jugement entrepris que dans son avis du 2 mars 2009, le docteur I.________ a relevé que de façon générale, la machine ne représentait qu'un aspect de la chaîne globale de traitement et que le résultat des traitements dépendait en premier lieu de l'expérience et de la méticulosité du neurochirurgien responsable et de son équipe. Ainsi, on pouvait mettre la machine la plus moderne entre les mains d'un médecin irresponsable ou inexpérimenté et obtenir des résultats de la pire espèce et, à l'inverse, on pouvait confier un modèle plus ancien à un médecin consciencieux et expérimenté et obtenir d'excellents résultats. La réputation internationale du Centre Gamma Knife de U.________ plaidait en faveur de son appartenance à cette dernière catégorie. Rien ne justifiait dès lors qu'une caisse-maladie suisse (soit l'assurance obligatoire des soins) prenne en charge les coûts d'un traitement Gamma Knife à l'étranger.</w:t>
      </w:r>
    </w:p>
    <w:p>
      <w:r>
        <w:t>Sur le vu des avis concordants mentionnés ci-dessus du médecin-conseil de l'intimée et du docteur I.________ en ce qui concerne l'offre thérapeutique en Suisse en matière de traitement des schwannomes et son caractère approprié, les affirmations du recourant selon lesquelles l'autorité précédente s'est fondée de manière unilatérale sur l'avis du docteur I.________, au lieu de procéder à une instruction complémentaire par la mise en oeuvre d'une expertise médicale, ne permettent pas de considérer que la juridiction cantonale, en retenant qu'en Suisse le traitement des schwannomes était couramment pratiqué et correspondait aux protocoles largement reconnus, ait établi les faits de façon manifestement inexacte ou en violation du droit (supra, consid. 1). Les avis du médecin-conseil de l'intimée et du docteur I.________ sur l'offre thérapeutique en Suisse en matière de traitement des schwannomes suffisaient pour statuer en pleine connaissance de cause, de sorte que l'autorité précédente pouvait se dispenser d'administrer d'autres preuves (appréciation anticipée des preuves; ATF 131 I 153 consid. 3 p. 157, 125 I 127 consid. 6c/cc p. 135), une telle manière de procéder ne violant pas le droit du recourant d'être entendu selon l' art. 29 al. 2 Cst. ( ATF 136 I 229 consid. 5.3 p. 236; 124 V 90 consid. 4b p. 94; 122 V 157 consid. 1d p. 162). On relèvera que dans son avis du 22 janvier 2009, le professeur E.________ s'était exprimé sur le Gamma Knife de U.________ et que le docteur I.________, en sa qualité de directeur du Centre Gamma Knife de U.________ et de "président de neurochirurgie W.________", était le mieux à même de prendre position à ce propos. Une expertise médicale comportant l'examen de l'assuré ne se justifiait donc pas. Le jugement entrepris, en concluant que l'offre thérapeutique en Suisse en matière de traitement des schwannomes était appropriée, est ainsi conforme au droit fédéral (supra, consid. 3). Le recours est mal fondé de ce chef.</w:t>
      </w:r>
    </w:p>
    <w:p>
      <w:r>
        <w:rPr>
          <w:b/>
        </w:rPr>
        <w:t>E. 5</w:t>
      </w:r>
    </w:p>
    <w:p>
      <w:r>
        <w:t>Le recourant entend se prévaloir de l'ALCP. Toutefois, ainsi que l'a relevé la juridiction cantonale, les conditions mises à l'octroi de prestations par l'art. 22 du règlement n° 1408/71 (RS 0.831.109.268.1), applicable en vertu de l'Accord, ne sont manifestement pas remplies. N'ayant pas été autorisé par l'institution compétente en Suisse à se rendre en France pour y recevoir des soins appropriés à son état, il ne se trouve donc pas dans la situation de l'art. 22 par. 1 point c) du règlement n° 1408/71 et ne saurait en déduire un droit à des prestations ( ATF 132 V 46 consid. 4.2.2 p. 52; arrêt K 16/06 du 26 février 2007, consid. 5.2). L'art. 22 par. 1 point a) du règlement n° 1408/71 n'entre manifestement pas en considération dans le cas particulier. Le recours est mal fondé.</w:t>
      </w:r>
    </w:p>
    <w:p>
      <w:r>
        <w:rPr>
          <w:b/>
        </w:rPr>
        <w:t>E. 6</w:t>
      </w:r>
    </w:p>
    <w:p>
      <w:r>
        <w:t>Vu l'issue du litige,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