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565/2012 vom 4. Januar 2013</w:t>
      </w:r>
    </w:p>
    <w:p>
      <w:r>
        <w:t>Bundesgericht, 2013-01-04, FR</w:t>
      </w:r>
    </w:p>
    <w:p>
      <w:r>
        <w:rPr>
          <w:b/>
        </w:rPr>
        <w:t xml:space="preserve">Quelle: </w:t>
      </w:r>
      <w:r>
        <w:t>https://mcp.opencaselaw.ch/entscheid/bger_9C_565_2012</w:t>
      </w:r>
    </w:p>
    <w:p>
      <w:r>
        <w:t>FR: TF 9C 565/2012 du 4 janvier 2013</w:t>
      </w:r>
    </w:p>
    <w:p>
      <w:r>
        <w:t>IT: TF 9C 565/2012 del 4 gennaio 2013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a pour objet la quotité de la rente (quart de rente ou trois quarts de rente) à laquelle peut prétendre l'intimée à partir du 1er décembre 2006, singulièrement les conséquences de l'atteinte à la santé sur sa capacité de travail. L'instance cantonale a exposé correctement les règles applicables à la solution du litige, si bien qu'il suffit de renvoyer au jugement attaqué.</w:t>
      </w:r>
    </w:p>
    <w:p>
      <w:r>
        <w:rPr>
          <w:b/>
        </w:rPr>
        <w:t>E. 3.1</w:t>
      </w:r>
    </w:p>
    <w:p>
      <w:r>
        <w:t>Les premiers juges ont constaté sur la base du rapport du docteur H.________ que l'intimée présentait une capacité de travail de 20 à 30 %, à raison de deux ou trois heures par jour au plus, avec des horaires irréguliers variant en fonction de son état de fatigue, dans une activité manuelle évitant la station assise prolongée, le bruit et le stress. Ils ont considéré que seul l'exercice d'une activité impliquant une formation ou des aptitudes très spécifiques répondait à l'ensemble de ces limitations; ce type de poste ne correspondant pas au profil de l'intimée, celle-ci ne pouvait pas mettre en valeur sa capacité résiduelle de travail sur le marché ordinaire de l'emploi. L'instance cantonale a en outre estimé que sans atteinte à la santé, l'intéressée aurait travaillé à 50 %. Il en résultait compte tenu des conclusions de l'enquête économique sur le ménage un taux d'invalidité global de 66 % ([50 % x 100 %] + [50 % x 31 %]), ouvrant à l'intimée le droit à un trois quart de rente.</w:t>
      </w:r>
    </w:p>
    <w:p>
      <w:r>
        <w:rPr>
          <w:b/>
        </w:rPr>
        <w:t>E. 3.2</w:t>
      </w:r>
    </w:p>
    <w:p>
      <w:r>
        <w:t>Le recourant estime que les premiers juges ont procédé à une appréciation arbitraire des preuves en retenant que l'exercice d'une activité professionnelle n'était pas exigible de l'intimée. L'instance cantonale, dès lors qu'elle a attribué pleine valeur probante au rapport du docteur H.________, aurait dû selon lui se conformer aux conclusions de ce médecin et partant tenir compte d'une capacité résiduelle de travail de 20 à 30 % dans une activité adaptée pour déterminer le degré d'invalidité dans la sphère professionnelle.</w:t>
      </w:r>
    </w:p>
    <w:p>
      <w:r>
        <w:rPr>
          <w:b/>
        </w:rPr>
        <w:t>E. 4</w:t>
      </w:r>
    </w:p>
    <w:p>
      <w:r>
        <w:t>Il peut certes paraître incohérent de retenir une exigibilité nulle dans la sphère professionnelle tout en qualifiant de probantes les conclusions d'une expertise qui indiquent une fourchette de valeurs de 20 à 30 % au titre de la capacité résiduelle de travail dans une activité adaptée. L'instance cantonale a cependant expliqué que l'exercice d'activités analogues à celles pratiquées précédemment par l'intimée n'était pas compatible avec les limitations retenues par le docteur H.________ (pas de maintien prolongé de la position assise, absence de bruit et de stress et horaire irrégulier à raison de deux ou trois heures par jour au maximum). Ces dernières étaient si restrictives qu'elles permettaient uniquement l'exercice d'activités nécessitant une formation professionnelle ou des compétences spécifiques, lesquelles n'étaient pas accessibles à l'intimée; dans ces conditions, l'intéressée ne pouvait mettre en valeur sa capacité résiduelle de travail que dans un atelier protégé (jugement entrepris, consid. 11 b p. 18). Les premiers juges ont ainsi clairement exposé les raisons qui les ont conduits à ne pas prendre en considération la capacité résiduelle de travail retenue par le docteur H.________ dans le calcul du degré d'invalidité. Le recourant, en se limitant à arguer que les constatations de l'instance cantonale contredisent les conclusions de ce médecin, ne tente nullement d'établir au moyen d'une argumentation précise et étayée le caractère insoutenable ou arbitraire de celles-ci.</w:t>
      </w:r>
    </w:p>
    <w:p>
      <w:r>
        <w:rPr>
          <w:b/>
        </w:rPr>
        <w:t>E. 5</w:t>
      </w:r>
    </w:p>
    <w:p>
      <w:r>
        <w:t>Il s'ensuit que le recours est mal fondé. Le recourant, qui succombe, supportera les frais de la procédure fédérale ( art. 66 al. 1 LTF ) et versera à l'intimée 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