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9C_564/2016 vom 24. November 2016</w:t>
      </w:r>
    </w:p>
    <w:p>
      <w:r>
        <w:t>Bundesgericht, 2016-11-24, DE</w:t>
      </w:r>
    </w:p>
    <w:p>
      <w:r>
        <w:rPr>
          <w:b/>
        </w:rPr>
        <w:t xml:space="preserve">Quelle: </w:t>
      </w:r>
      <w:r>
        <w:t>https://mcp.opencaselaw.ch/entscheid/bger_9C_564_2016</w:t>
      </w:r>
    </w:p>
    <w:p>
      <w:r>
        <w:t>FR: TF 9C_564/2016 du 24 novembre 2016</w:t>
      </w:r>
    </w:p>
    <w:p>
      <w:r>
        <w:t>IT: TF 9C_564/2016 del 24 novembre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 als welche auch die konkrete Beweiswürdigung zu verstehen ist -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w:t>
      </w:r>
    </w:p>
    <w:p>
      <w:r>
        <w:t>Das kantonale Gericht hat dem polydisziplinären Gutachten des Swiss Medical Assessment- and Business-Center (SMAB) vom 15. Juli 2014 Beweiskraft beigemessen und gestützt darauf eine Restarbeitsfähigkeit von 70 % in der bisherigen und jeder anderen leidensangepassten Tätigkeit ab 1. September 2014 festgestellt. Das entsprechende Invalideneinkommen hat es auf mindestens Fr. 40'015.- und das Valideneinkommen auf Fr. 62'235.30 festgesetzt. Beim resultierenden Invaliditätsgrad von 35,7 % hat es einen Rentenanspruch über den 31. August 2014 hinaus verneint.</w:t>
      </w:r>
    </w:p>
    <w:p>
      <w:r>
        <w:rPr>
          <w:b/>
        </w:rPr>
        <w:t>E. 3.1</w:t>
      </w:r>
    </w:p>
    <w:p>
      <w:r>
        <w:t>Das SMAB-Gutachten genügt den Anforderungen an die Beweiskraft ( BGE 134 V 231 E. 5.1 S. 232; 125 V 351 E. 3a S. 352). Daran ändert nichts, dass die - in der Expertise berücksichtigten - Einschätzungen der Klinik B.________ resp. des Dr. med. C.________ nicht in allen Punkten mit jenen der SMAB-Gutachter übereinstimmen, trägt doch die ärztliche Beurteilung von der Natur der Sache her unausweichlich Ermessenszüge ( BGE 137 V 210 E. 3.4.2.3 S. 253; Urteil 9C_397/2015 vom 6. August 2015 E. 5.3); zudem ist dem Unterschied zwischen Behandlungs- und Begutachtungsauftrag Rechnung zu tragen ( BGE 125 V 351 E. 3b/cc S. 353; Urteile 8C_740/2010 vom 29. September 2011 E. 6 und 9C_842/2009 vom 17. November 2009 E. 2.2). Inwiefern bei der Erstellung des Gutachtens die Grundsätze gemäss BGE 141 V 281 verletzt sein sollen, wird nicht (substanziiert) dargelegt und ist insbesondere angesichts der gestellten Diagnosen nicht ersichtlich. Der Bericht der Hausärztin vom 31. August 2015 erschüttert die Beweiskraft des SMAB-Gutachtens nicht (vgl. BGE 125 V 351 E. 3b/bb S. 352). Diesbezüglich hat die Vorinstanz denn auch nachvollziehbar dargelegt, weshalb sie auf weitere Abklärungen verzichtete (antizipierende Beweiswürdigung; BGE 136 I 229 E. 5.3 S. 236 ; 134 I 140 E. 5.3 S. 148; 124 V 90 E. 4b S. 94).</w:t>
      </w:r>
    </w:p>
    <w:p>
      <w:r>
        <w:t>Die vorinstanzliche Beweiswürdigung und Sachverhaltsfeststellung (E. 2) sind somit nicht offensichtlich unrichtig (E. 1.2) und beruhen auch nicht auf einer Rechtsverletzung. Sie bleiben daher für das Bundesgericht verbindlich (E. 1.1).</w:t>
      </w:r>
    </w:p>
    <w:p>
      <w:r>
        <w:rPr>
          <w:b/>
        </w:rPr>
        <w:t>E. 3.2</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der Beschwerdeführer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