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9C_563/2007 vom 11. Dezember 2007</w:t>
      </w:r>
    </w:p>
    <w:p>
      <w:r>
        <w:t>Bundesgericht, 2007-12-11, DE</w:t>
      </w:r>
    </w:p>
    <w:p>
      <w:r>
        <w:rPr>
          <w:b/>
        </w:rPr>
        <w:t xml:space="preserve">Quelle: </w:t>
      </w:r>
      <w:r>
        <w:t>https://mcp.opencaselaw.ch/entscheid/bger_9C_563_2007</w:t>
      </w:r>
    </w:p>
    <w:p>
      <w:r>
        <w:t>FR: TF 9C_563/2007 du 11 décembre 2007</w:t>
      </w:r>
    </w:p>
    <w:p>
      <w:r>
        <w:t>IT: TF 9C_563/2007 del 11 dicembre 2007</w:t>
      </w:r>
    </w:p>
    <w:p>
      <w:pPr>
        <w:pStyle w:val="Heading2"/>
      </w:pPr>
      <w:r>
        <w:t>Erwägungen</w:t>
      </w:r>
    </w:p>
    <w:p>
      <w:r>
        <w:rPr>
          <w:b/>
        </w:rPr>
        <w:t>E. 1</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Des Weitern muss es sich um eine Streitigkeit zwischen Versicherungsträgern und leistungserbringenden Personen handeln, was sich danach bestimmt, welche Parteien einander in Wirklichkeit gegenüberstehen.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zuständig sind ( BGE 132 V 352 E. 2.1 S. 353 mit Hinweisen).</w:t>
      </w:r>
    </w:p>
    <w:p>
      <w:r>
        <w:rPr>
          <w:b/>
        </w:rPr>
        <w:t>E. 2</w:t>
      </w:r>
    </w:p>
    <w:p>
      <w:r>
        <w:t>Voraussetzung für die Übernahme der Kosten der im Rahmen der OKP erbrachten Leistungen ist nach Art. 32 Abs. 1 KVG neben Wirksamkeit und Zweckmässigkeit auch ihre Wirtschaftlichkeit. Nach Art. 56 KVG muss sich der Leistungserbringer in seinen Leistungen auf das Mass beschränken, das im Interesse der Versicherten liegt und für den Behandlungszweck erforderlich ist (Abs. 1). Für Leistungen, die über dieses Mass hinausgehen, kann die Vergütung verweigert werden. Eine nach diesem Gesetz dem Leistungserbringer zu Unrecht bezahlte Vergütung kann zurückgefordert werden (Abs. 2).</w:t>
      </w:r>
    </w:p>
    <w:p>
      <w:r>
        <w:rPr>
          <w:b/>
        </w:rPr>
        <w:t>E. 3</w:t>
      </w:r>
    </w:p>
    <w:p>
      <w:r>
        <w:t>In der Sache streiten sich die Parteien darum, ob die Beschwerdegegnerin verpflichtet ist, dem Beschwerdeführer für die Behandlung verschiedener Patientinnen und Patienten insgesamt Fr. 56'029.20 (zuzüglich Zins) zu bezahlen. Zur Begründung des Antrages auf Abweisung der vorinstanzlichen Klage gab die Versicherung insbesondere an, die vom Kläger erbrachte Leistung sei nicht wirtschaftlich gewesen.</w:t>
      </w:r>
    </w:p>
    <w:p>
      <w:r>
        <w:rPr>
          <w:b/>
        </w:rPr>
        <w:t>E. 4</w:t>
      </w:r>
    </w:p>
    <w:p>
      <w:r>
        <w:t>Die Vorinstanz begründete das Nichteintreten auf die Klage im Wesentlichen damit, der Kläger sei zwar im massgeblichen Zeitpunkt Leistungserbringer nach KVG gewesen und die Beklagte fraglos zugelassener Krankenversicherer, so dass ein Leistungserbringer und ein Versicherer im Sinne des KVG am Recht stünden. Der Kläger leite jedoch seine Aktivlegitimation zur Geltendmachung eines Anspruchs auf Vergütung für ärztliche Behandlungen aus Verträgen ab, in denen nicht Rechtsbeziehungen geschaffen worden seien, die sich aus dem KVG ergeben oder die sich auf eine Vereinbarung abstützen könnten, die auf Grund des KVG und auf dessen gesetzlicher Grundlage eingegangen worden seien: Den von den Parteien zu den Akten gereichten MediData-Vertragsunterlagen (MediData-Teilnehmerverträge, Zusatzvereinbarungen der Parteien zu dem erwähnten Vertrag, MediData-Rahmenvertrag) und den darin getroffenen Vergütungsregelungen fehle die gemäss Art. 46 Abs. 4 KVG erforderliche behördliche Genehmigung und sie wichen von der in gesetzlichen bzw. gesetzeskonformen Tarifverträgen geregelten Vergütungsordnung ab, indem das System des Tiers payant ( Art. 42 Abs. 2 KVG ) statuiert werde; in dem bis zum 31. Dezember 2003 gültig gewesenen Verbandstarifvertrag zwischen der Ärztegesellschaft des Kantons Zürich und dem Verband der Krankenkassen im Kanton Zürich vom 1. Juli 1977 (Ziff. 12) und auch in dem ab 1. Januar 2004 gültigen Anschlussvertrag zum Rahmenvertrag TARMED vom 17. November 2003 zwischen santésuisse und der Ärztegesellschaft (Art. 11 Abs. 1) sei für das Abrechnungsverfahren zwischen den den Verträgen angeschlossenen Leistungserbringern und Versicherern ausdrücklich das Vergütungssystem des Tiers garant vorgeschrieben ( Art. 42 Abs. 1 KVG ). Die Aktivlegitimation des Klägers vor dem Schiedsgericht in Sozialversicherungsstreitigkeiten zur Geltendmachung eines Anspruchs auf Vergütung für ärztliche Behandlungen, welche er im Rahmen des KVG für Versicherte der Beklagten erbrachte, finde so jedenfalls im Sozialversicherungsrecht keine Grundlage; zur Prüfung eines allfälligen zivilrechtlichen Vergütungsanspruchs sei das Schiedsgericht aber nicht zuständig.</w:t>
      </w:r>
    </w:p>
    <w:p>
      <w:r>
        <w:rPr>
          <w:b/>
        </w:rPr>
        <w:t>E. 5</w:t>
      </w:r>
    </w:p>
    <w:p>
      <w:r>
        <w:t>Dem ist nicht zu folgen. Wie das Bundesamt zu Recht anführt, setzt der Anspruch des Beschwerdeführers auf Bezahlung der Vergütung für seine Leistung insbesondere deren Wirtschaftlichkeit voraus, was von der Beschwerdegegnerin im konkreten Fall bestritten wird. Der Streitsache liegt somit in materieller Hinsicht schwergewichtig eine Frage zu Grunde, deren Beantwortung in den Bereich des KVG fällt (vgl. oben E. 2). Es handelt sich um eine Streitigkeit zwischen Krankenversicherer und Leistungserbringer, die Rechtsbeziehungen zum Gegenstand hat, die sich aus dem KVG ergeben oder auf Grund des KVG eingegangen worden sind. Der Streitgegenstand betrifft die besondere Stellung der Versicherer und Leistungserbringer im Rahmen des KVG und die beiden Parteien stehen sich je in dieser Eigenschaft im Prozess gegenüber. Damit ist die Zuständigkeit des Schiedsgerichts gegeben, auch wenn nicht die Versicherung, sondern die versicherte Person die Vergütung schuldet (System des Tiers garant; Art. 89 Abs. 3 KVG ). Die Frage nach der Beachtlichkeit der im MediData-Vertrag vorgesehenen Vergütungsregelung ist letztinstanzlich zumindest vorerst nicht zu beantworten und für die schiedsgerichtliche Zuständigkeit nicht von Belang.</w:t>
      </w:r>
    </w:p>
    <w:p>
      <w:r>
        <w:rPr>
          <w:b/>
        </w:rPr>
        <w:t>E. 6</w:t>
      </w:r>
    </w:p>
    <w:p>
      <w:r>
        <w:t>Dem Prozessausgang entsprechend hat die Beschwerdegegnerin die Gerichtskosten zu tragen ( Art. 66 Abs. 1 BGG ) und dem Beschwerdeführer eine Parteientschädigung zu bezahlen ( Art. 68 Abs. 2 BGG ). Das Gesuch um unentgeltliche Rechtspflege ist demzufolge gegenstandslos.</w:t>
      </w:r>
    </w:p>
    <w:p>
      <w:r>
        <w:rPr>
          <w:b/>
        </w:rPr>
        <w:t>E. 7</w:t>
      </w:r>
    </w:p>
    <w:p>
      <w:r>
        <w:t>Die Beschwerde ist offensichtlich begründet und im vereinfachten Verfahren ( Art. 109 Abs. 2 lit. b und Abs. 3 BGG ) zu erledigen.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