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562/2023 vom 18. März 2024</w:t>
      </w:r>
    </w:p>
    <w:p>
      <w:r>
        <w:t>Bundesgericht, 2024-03-18, DE</w:t>
      </w:r>
    </w:p>
    <w:p>
      <w:r>
        <w:rPr>
          <w:b/>
        </w:rPr>
        <w:t xml:space="preserve">Quelle: </w:t>
      </w:r>
      <w:r>
        <w:t>https://mcp.opencaselaw.ch/entscheid/bger_9C_562_2023</w:t>
      </w:r>
    </w:p>
    <w:p>
      <w:r>
        <w:t>FR: TF 9C 562/2023 du 18 mars 2024</w:t>
      </w:r>
    </w:p>
    <w:p>
      <w:r>
        <w:t>IT: TF 9C 562/2023 del 18 marzo 2024</w:t>
      </w:r>
    </w:p>
    <w:p>
      <w:pPr>
        <w:pStyle w:val="Heading2"/>
      </w:pPr>
      <w:r>
        <w:t>Regeste</w:t>
      </w:r>
    </w:p>
    <w:p>
      <w:r>
        <w:t>Krankenversicherung | Krankenversicherung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545 E. 2.2;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zu prüfen ist, ob das kantonale Gericht Bundesrecht verletzte, als es den Einspracheentscheid des Krankenversicherers der Beschwerdeführerin bestätigte, mit welchem dieser eine Kostenübernahme für die ab 1. August 2017 von der Kinderspitex in der Stiftung C.________ erbrachten Pflegeleistungen ablehnte.</w:t>
      </w:r>
    </w:p>
    <w:p>
      <w:r>
        <w:rPr>
          <w:b/>
        </w:rPr>
        <w:t>E. 3.1</w:t>
      </w:r>
    </w:p>
    <w:p>
      <w:r>
        <w:t>Die obligatorische Krankenpflegeversicherung leistet gemäss Art. 25a Abs. 1 KVG einen Beitrag an die Pflegeleistungen, welche aufgrund einer ärztlichen Anordnung und eines ausgewiesenen Pflegebedarfs ambulant, auch in Tages- oder Nachtstrukturen, oder im Pflegeheim erbracht werden. Der Bundesrat bezeichnet nach Art. 25a Abs. 3 KVG die Pflegeleistungen und regelt das Verfahren der Bedarfsermittlung. In Anwendung von Art. 33 lit. b KVV bezeichnet das Eidgenössische Departement des Innern (EDI) nach Anhören der zuständigen Kommission die nicht von Ärzten und Ärztinnen oder Chiropraktoren und Chiropraktorinnen erbrachten Leistungen nach den Art. 25 Abs. 2 und Art. 25a Abs. 1 und 2 KVG .</w:t>
      </w:r>
    </w:p>
    <w:p>
      <w:r>
        <w:rPr>
          <w:b/>
        </w:rPr>
        <w:t>E. 3.2</w:t>
      </w:r>
    </w:p>
    <w:p>
      <w:r>
        <w:t>Als Leistungen nach Art. 33 lit. b KVV gelten gemäss Art. 7 Abs. 1 KLV Untersuchungen, Behandlungen und Pflegemassnahmen, die aufgrund der Bedarfsabklärung nach Art. 7 Abs. 2 lit. a KLV und nach Art. 8 KLV auf ärztliche Anordnung hin oder im ärztlichen Auftrag erbracht werden von Pflegefachfrauen und Pflegefachmännern ( Art. 49 KVV ), von Organisationen der Krankenpflege und Hilfe zu Hause ( Art. 51 KVV ) oder von Pflegeheimen ( Art. 39 Abs. 3 KVG ).</w:t>
      </w:r>
    </w:p>
    <w:p>
      <w:r>
        <w:rPr>
          <w:b/>
        </w:rPr>
        <w:t>E. 4.1</w:t>
      </w:r>
    </w:p>
    <w:p>
      <w:r>
        <w:t>Unter den Begriff der ambulanten Pflegeleistungen im Sinne von Art. 25a Abs. 1 KVG fallen Pflegeleistungen, welche nicht stationär (mithin nicht unter Inanspruchnahme eines Spitalbettes während mehr als eines Tages, vgl. BGE 103 V 74 E. 1) in einem Spital, in einem Geburtshaus oder in einem Pflegeheim erbracht werden. Darunter fällt insbesondere auch die Pflege zu Hause (Gebhard Eugster, Rechtsprechung des Bundesgerichts zum KVG, 2. Aufl. 2018, N. 20 zu Art. 25a KVG ); es ist kein Grund ersichtlich, weshalb solche Leistungen - so lange die Kriterien der Wirksamkeit, der Zweckmässigkeit und der Wirtschaftlichkeit ( Art. 32 KVG ) eingehalten sind - nicht auch an einem geeigneten anderen Ort durchgeführt werden können (vgl. auch Stéphanie Perrenoud, Soins à domicile, soins en EMS: de quelles alternatives dispose la personne âgée dépendante de soins? in: Jusletter 30. März 2015, Rz. 75). Der Umstand, dass die vorliegend streitigen Pflegeleistungen nicht am Wohnsitz der Beschwerdeführerin, sondern während ihres Aufenthaltes in der Stiftung C.________ erbracht werden, stellt demnach kein Ausschlussgrund für einen Beitrag der Krankenversicherung an die Kosten dieser Leistungen dar.</w:t>
      </w:r>
    </w:p>
    <w:p>
      <w:r>
        <w:rPr>
          <w:b/>
        </w:rPr>
        <w:t>E. 4.2</w:t>
      </w:r>
    </w:p>
    <w:p>
      <w:r>
        <w:t>Aufgrund der vorliegenden Akten, insbesondere der Bedarfsabklärung vom 3. Juli 2017 und der Anordnung der Dr. med. D.________, Fachärztin für Kinder- und Jugendmedizin FMH, vom 21. August 2017 steht fest, dass bei der Beschwerdeführerin in der Zeit ab 1. August 2017 ein Pflegebedarf bestand. Weiter ist unbestritten, dass in der Zeit, während der die Beschwerdeführerin zu Hause weilte, sie keine Pflegeleistungen beanspruchte, sondern die entsprechenden Pflegemassnahmen von den Eltern durchgeführt wurden. Entgegen den vorinstanzlichen Erwägungen kann indessen aus dem Umstand, dass die Beschwerdeführerin zu Hause von ihren Eltern betreut und gepflegt wurde, nicht willkürfrei geschlossen werden, sie habe entgegen der ärztlichen Bescheinigung auch während ihres Aufenthaltes in der Stiftung C.________ keine Pflegeleistungen benötigt (vgl. auch Urteil 9C_46/2017 vom 6. Juni 2017 E. 3.2). Auch kann aus dem supererogatorischen Einsatz der Eltern nicht gefolgert werden, dass auch dem Personal der Stiftung C.________ ein entsprechender Einsatz zumutbar und damit der Einsatz der Kinderspitex überflüssig gewesen wäre.</w:t>
      </w:r>
    </w:p>
    <w:p>
      <w:r>
        <w:rPr>
          <w:b/>
        </w:rPr>
        <w:t>E. 4.3</w:t>
      </w:r>
    </w:p>
    <w:p>
      <w:r>
        <w:t>Gemäss den insoweit unbestrittenen vorinstanzlichen Sachverhaltsfeststellungen handelt es sich bei der Stiftung C.________ um eine Sonderschule; die Beschwerdeführerin hielt sich in dieser Institution in erster Linie zwecks Schulbesuch auf. Gemäss Art. 62 Abs. 1 BV sind für das Schulwesen - unter Einschluss des Sonderschulwesens ( Art. 62 Abs. 3 BV ) - die Kantone zuständig. Nicht näher geprüft zu werden braucht die Frage, ob sich aus dieser Zuständigkeitsordnung auch eine Pflicht der Kantone ergibt zur Sicherstellung und vollständigen Finanzierung von Pflegeleistungen, welche einzig aufgrund des Schulbesuchs notwendig werden. Vorliegend steht aufgrund der Bedarfsabklärung und der ärztlichen Bescheinigung fest, dass der Pflegebedarf unabhängig vom Schulbesuch auch zu Hause bestand. Daran ändert auch der Umstand nichts, dass die Beschwerdeführerin - aufgrund des Einsatzes ihrer Eltern - zu Hause auf die ihr eigentlich zustehenden Pflegeleistungen verzichtete und sie daher solche lediglich für die Zeit ihres Aufenthaltes in der Stiftung C.________ beanspruchte.</w:t>
      </w:r>
    </w:p>
    <w:p>
      <w:r>
        <w:rPr>
          <w:b/>
        </w:rPr>
        <w:t>E. 4.4</w:t>
      </w:r>
    </w:p>
    <w:p>
      <w:r>
        <w:t>Zusammenfassend haben Vorinstanz und Krankenversicherung Bundesrecht verletzt, als sie einen Anspruch der Beschwerdeführerin auf Kostenübernahme verneinten, weil die Versicherte die streitigen Pflegeleistungen lediglich während ihres Aufenthaltes in der Stiftung C.________, nicht aber während ihrer Zeit zu Hause in Anspruch nehmen wollte. Entsprechend ist die Beschwerde in dem Sinne teilweise gutzuheissen, als die Sache zu Prüfung der übrigen Anspruchsvoraussetzungen und zu neuer Verfügung an die Krankenversicherung zurückzuweisen ist. Im Übrigen ist die Beschwerde abzuweisen.</w:t>
      </w:r>
    </w:p>
    <w:p>
      <w:r>
        <w:rPr>
          <w:b/>
        </w:rPr>
        <w:t>E. 5</w:t>
      </w:r>
    </w:p>
    <w:p>
      <w:r>
        <w:t>Die Rückweisung der Sache zu erneutem Entscheid gilt für die Frage der Auferlegung der Gerichtskosten sowie der Parteientschädigung als vollständiges Obsiegen im Sinne von Art. 66 Abs. 1 und Art. 68 Abs. 1 und 2 BGG ( BGE 141 V 281 E. 11.1). Mithin hat die unterliegende Beschwerdegegnerin die Gerichtskosten zu tragen und der Beschwerdeführerin eine Parteientschädigung auszurichten. Die Sache ist zudem zur Neuverlegung der Parteientschädigung des vorangegangenen Verfahrens an das Verwaltungsgericht des Kantons Thurgau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