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562/2020 vom 14. Mai 2021</w:t>
      </w:r>
    </w:p>
    <w:p>
      <w:r>
        <w:t>Bundesgericht, 2021-05-14, DE</w:t>
      </w:r>
    </w:p>
    <w:p>
      <w:r>
        <w:rPr>
          <w:b/>
        </w:rPr>
        <w:t xml:space="preserve">Quelle: </w:t>
      </w:r>
      <w:r>
        <w:t>https://mcp.opencaselaw.ch/entscheid/bger_9C_562_2020</w:t>
      </w:r>
    </w:p>
    <w:p>
      <w:r>
        <w:t>FR: TF 9C 562/2020 du 14 mai 2021</w:t>
      </w:r>
    </w:p>
    <w:p>
      <w:r>
        <w:t>IT: TF 9C 562/2020 del 14 maggio 2021</w:t>
      </w:r>
    </w:p>
    <w:p>
      <w:pPr>
        <w:pStyle w:val="Heading2"/>
      </w:pPr>
      <w:r>
        <w:t>Regeste</w:t>
      </w:r>
    </w:p>
    <w:p>
      <w:r>
        <w:t>Ergänzungsleistung zur AHV/IV | Ergänzungsleistung</w:t>
      </w:r>
    </w:p>
    <w:p>
      <w:pPr>
        <w:pStyle w:val="Heading2"/>
      </w:pPr>
      <w:r>
        <w:t>Erwägungen</w:t>
      </w:r>
    </w:p>
    <w:p>
      <w:r>
        <w:rPr>
          <w:b/>
        </w:rPr>
        <w:t>E. 1</w:t>
      </w:r>
    </w:p>
    <w:p>
      <w:r>
        <w:t>Die II. sozialrechtliche Abteilung ist zuständig für Beschwerden, welche die Ergänzungsleistungen betreffen ( Art. 82 lit. a BGG sowie Art. 35 lit. f des Reglements für das Bundesgericht vom 20. November 2006 [BGerR; SR 173.110.131]). Nach Art. 34 lit. d BGerR fällt die kantonale Sozialversicherung hingegen in die Zuständigkeit der I. sozialrechtlichen Abteilung. Der Schwerpunkt der Entscheidung betrifft hier die Ergänzungsleistungen, weshalb die II. sozialrechtliche Abteilung zur Beurteilung der vorliegenden Beschwerde zuständig ist ( Art. 36 Abs. 1 BGerR ).</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Immerhin prüft es, unter Berücksichtigung der allgemeinen Begründungspflicht ( Art. 42 Abs. 1 und 2 BGG ), grundsätzlich nur die geltend gemachten Rügen, sofern die rechtlichen Mängel nicht geradezu offensichtlich sind ( BGE 141 V 234 E. 1 mit Hinweisen). Die Begründung hat in der Rechtsschrift selbst zu erfolgen. Der blosse Verweis auf Ausführungen in andern Rechtsschriften oder auf die Akten reicht nicht aus ( BGE 141 V 416 E. 4; 133 II 396 E. 3.1). Diese Anforderungen gelten auch für die Beschwerdeantwort ( BGE 140 III 115 E. 2; 140 III 86 E. 2). 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3</w:t>
      </w:r>
    </w:p>
    <w:p>
      <w:r>
        <w:t>Die Beschwerdeführer rügen in erster Linie eine Verletzung des Anspruchs auf rechtliches Gehör. Die Vorinstanz habe sich nicht mit ihrem Vorbringen auseinandergesetzt, dass eine Verrechnung von Guthaben der Beschwerdeführerin mit im Zeitpunkt der Verrechnung verwirkten Rückforderungen gegenüber dem Beschwerdeführer nicht erfolgen dürfe. Das kantonale Gericht muss sich nicht mit allen Parteistandpunkten einlässlich auseinandersetzen und nicht jedes einzelne Vorbringen ausdrücklich widerlegen; vielmehr genügt es, wenn der Entscheid die wesentlichen Faktoren hinlänglich feststellt und würdigt, sodass er gegebenenfalls sachgerecht angefochten werden kann ( BGE 142 II 49 E. 9.2 ; 136 I 184 E. 2.2.1 ; 134 I 83 E. 4.1; 133 III 439 E. 3.3; je mit Hinweisen). Diese Anforderungen erfüllt der angefochtene Entscheid, indem daraus hervorgeht, welche Abzüge von der Nachzahlung vorgenommen wurden. Den Beschwerdeführern war somit eine sachgerechte Anfechtung des vorinstanzlichen Erkenntnisses möglich, weshalb eine Verletzung des Anspruchs auf rechtliches Gehör zu verneinen ist.</w:t>
      </w:r>
    </w:p>
    <w:p>
      <w:r>
        <w:rPr>
          <w:b/>
        </w:rPr>
        <w:t>E. 4</w:t>
      </w:r>
    </w:p>
    <w:p>
      <w:r>
        <w:t>Strittig ist weiter, ob die Vorinstanz Bundesrecht verletzte, indem sie feststellte, dass den Beschwerdeführern kein weiterer Nachzahlungsanspruch zusteht. Dies ist mit Blick auf die hinreichend substanziierten Vorbringen - die Beschwerdeantwort der IV-Stelle, die weitgehend nur auf eine Eingabe im vorinstanzlichen Verfahren verweist, erfüllt diese Anforderungen nicht (vgl. E. 2 hiervor) - zu prüfen.</w:t>
      </w:r>
    </w:p>
    <w:p>
      <w:r>
        <w:rPr>
          <w:b/>
        </w:rPr>
        <w:t>E. 4.1.1</w:t>
      </w:r>
    </w:p>
    <w:p>
      <w:r>
        <w:t>Wie dem Einspracheentscheid vom 8. März 2018 und der Verfügung vom 8. Dezember 2016 betreffend die Beschwerdeführerin zu entnehmen ist, hat die Ausgleichskasse vom ermittelten Nachzahlungsanspruch von Fr. 111'106.- insbesondere Rentenrückforderungen der Invalidenversicherung von Fr. 13'701.- und Fr. 20'916.- zur Verrechnung zugelassen. Die Vorinstanz erachtete dies als rechtens, weil sich in entsprechendem Umfang die Rückerstattung gegen den Beschwerdeführer verringert habe. In der Beschwerde wird diesbezüglich beanstandet, dass verwirkte Rückforderungen der Invalidenversicherung zur Verrechnung zugelassen wurden.</w:t>
      </w:r>
    </w:p>
    <w:p>
      <w:r>
        <w:rPr>
          <w:b/>
        </w:rPr>
        <w:t>E. 4.1.2</w:t>
      </w:r>
    </w:p>
    <w:p>
      <w:r>
        <w:t>Im invalidenversicherungsrechtlichen Verfahren wurde ein Rückerstattungsanspruch der IV-Stelle gegenüber von A.A.________ und B.A.________ für zu viel bezahlte Invalidenrenten von Juni 2011 bis Dezember 2014 über insgesamt Fr. 71'842.- verneint (betreffend den Beschwerdeführer vgl. Verfügung der IV-Stelle vom 2. November 2016; betreffend die Beschwerdeführerin vgl. Verfügung der IV-Stelle vom 2. November 2016, Urteil des Sozialversicherungsgerichts des Kantons Zürich vom 22. Mai 2018 und Verfügung der IV-Stelle vom 22. August 2019). Es liegt somit keine Rückerstattungsforderung der Invalidenversicherung vor, weshalb auch keine Verrechnung damit erfolgen kann. Dies führt auf der anderen Seite aber dazu, dass den Beschwerdeführern diese Rentenleistungen zur Bestreitung ihres Lebensunterhalts zur Verfügung standen, weshalb dies bei der Berechnung der Zusatzleistungen im Rahmen der Verfügung vom 8. Dezember 2016 bzw. des Einspracheentscheides vom 8. März 2018 auch hätte berücksichtigt werden müssen, sind doch bei den Ergänzungsleistungen und kantonalen Beihilfen sämtliche Einnahmen, die von Gesetzes wegen nicht ausdrücklich ausgeschlossen sind, anzurechnen ( Art. 11 ELG ; § 15 ZLG des Gesetzes über die Zusatzleistungen zur eidgenössischen Alters-, Hinterlassenen- und Invalidenversicherung [ZLG; LS 831.3]; vgl. JÖHL/USINGER-EGGER, Ergänzungsleistungen zur AHV/IV, in: Soziale Sicherheit, SBVR Bd. XIV, 3. Aufl. 2016, Rz. 117 S. 1798 f.). Die letzten Berechnungen enthalten diese Rentenleistungen nicht, es ist deshalb notwendig, dass die Verwaltung eine neue Berechnung des Nachzahlungsanspruchs der Beschwerdeführerin vornimmt.</w:t>
      </w:r>
    </w:p>
    <w:p>
      <w:r>
        <w:rPr>
          <w:b/>
        </w:rPr>
        <w:t>E. 4.2</w:t>
      </w:r>
    </w:p>
    <w:p>
      <w:r>
        <w:t>Weiter ist die Höhe der Rückerstattungsschuld des Beschwerdeführers, welche mit der Nachzahlung der Beschwerdeführerin verrechnet wurde, strittig.</w:t>
      </w:r>
    </w:p>
    <w:p>
      <w:r>
        <w:rPr>
          <w:b/>
        </w:rPr>
        <w:t>E. 4.2.1</w:t>
      </w:r>
    </w:p>
    <w:p>
      <w:r>
        <w:t>Nach Art. 27 ELV können Rückforderungen mit fälligen Ergänzungsleistungen verrechnet werden. Allgemein unterliegt die Verrechnung im öffentlichen Recht - und damit auch im Sozialversicherungsrecht - der Bedingung, dass sich zwei Personen gegenseitig als Gläubiger und Schuldner von fälligen Leistungen gegenüberstehen ( Art. 120 Abs. 1 OR ; vgl. SVR 2010 EL Nr. 9 S. 25, 9C_941/2009 E. 5.1 mit Hinweis auf BGE 132 V 127 E. 6.4.3.1). Um den Besonderheiten des Sozialversicherungsrechts Rechnung zu tragen, gilt diese Regel hinsichtlich der Gegenseitigkeit nicht absolut. So ist nicht erforderlich, dass der Rechtsunterworfene oder Versicherte gleichzeitig Gläubiger und Schuldner der Verwaltung ist, wenn die Verrechnungsforderungen aus versicherungstechnischen und rechtlichen Standpunkten in einer engen Beziehung zueinander stehen (URS MÜLLER, Rechtsprechung des Bundesgerichts zum ELG, 3. Aufl. 2015, N. 774 zu Art. 12 ELG ; vgl. auch BGE 138 V 235 E. 7.3; 138 V 2 E. 4.1; 137 V 175 E. 2.2.1).</w:t>
      </w:r>
    </w:p>
    <w:p>
      <w:r>
        <w:rPr>
          <w:b/>
        </w:rPr>
        <w:t>E. 4.2.2</w:t>
      </w:r>
    </w:p>
    <w:p>
      <w:r>
        <w:t>Die Verwaltung stellte in der Verfügung vom 8. Dezember 2016 unter Ausschluss von bezogenen Zusatzleistungen vor Juli 2010 fest, dass der Beschwerdeführer Fr. 18'346.- zurückzuerstatten habe. Die Vorinstanz bestätigte dies. Der Beschwerdeführer macht dagegen geltend, die Rückforderung belaufe sich lediglich auf Fr. 17'675.-, was sich aus den in der Verfügung vom 8. Dezember 2016 aufgeführten Ergänzungsleistungen für den Zeitraum vom 1. Juli 2010 bis 31. Mai 2011 ergebe. Es ist richtig, dass gemäss der Zusammenstellung der Ausgleichskasse in der Verfügung vom 8. Dezember 2016 die Zusatzleistungen von Juli 2010 bis Mai 2011 Fr. 17'675.- betragen. Der Umfang der Rückerstattung richtet sich jedoch nicht nach der Höhe des Anspruchs, sondern ergibt sich aus den unrechtmässigen Auszahlungen (Differenz zwischen den Auszahlungen und dem Anspruch). Dazu fehlen Feststellungen in der Verfügung vom 8. Dezember 2016, dem Einspracheentscheid vom 8. März 2018 und dem kantonsgerichtlichen Urteil, weshalb die geforderte und mit dem Nachzahlungsanspruch der Ehefrau verrechnete Rückerstattung nicht nachvollzogen werden kann. Die Verwaltung hat eine Zusammenstellung zu stellen, aus der sich der Anspruch, die bezogenen Leistungen und die Rückerstattungsschuld ergibt.</w:t>
      </w:r>
    </w:p>
    <w:p>
      <w:r>
        <w:rPr>
          <w:b/>
        </w:rPr>
        <w:t>E. 4.2.3</w:t>
      </w:r>
    </w:p>
    <w:p>
      <w:r>
        <w:t>Unabhängig davon, ob die Rückerstattungsschuld des Beschwerdeführers Fr. 17'675.- oder Fr. 18'346.- beträgt, ist entgegen der Argumentation in der Beschwerde aber nicht einsichtig, weshalb dies zu einem höheren Nachzahlungsanspruch des Beschwerdeführers führen soll. Denn aus dem Umstand, dass die Rückerstattung gegen ihn von Fr. 51'059.- auf Fr. 18'346.- (bzw. eventuell auf Fr. 17'675.-) zu reduzieren war (vgl. Verfügung vom 8. Dezember 2016), folgt grundsätzlich kein Nachzahlungsanspruch des Beschwerdeführers. Die Verwaltung wird sich zu diesem Punkt in der neuen Verfügung zu äussern haben, dabei hat sie zu beachten, dass der Beschwerdeführer ab 1. Juni 2011 keinen Invalidenrentenanspruch mehr hat (vgl. Sachverhalt lit. A.a) und die diesen Zeitraum betreffende Nachzahlung der Zusatzleistungen ausschliesslich der Beschwerdeführerin zusteht ( Art. 4 ELG ; § 13 Abs. 1 des Gesetzes über die Zusatzleistungen zur eidgenössischen Alters-, Hinterlassenen- und Invalidenversicherung [ZLG; LS 831.3]). Sollte sich bestätigen, dass die Ausgleichskasse am 12. Dezember 2016 keine Nachzahlung von Fr. 18'935.45 an den Beschwerdeführer auf das Konto der Eheleute hätte veranlassen dürfen, stellt sich die Frage einer allfälligen Rückforderung der unrechtmässigen Auszahlung (vgl. Art. 25 Abs. 1 Satz 1 ATSG und Art. 42 ELG ; § 19 Abs. 1 ZLG) und deren Verrechnung mit Ansprüchen der Beschwerdeführerin (E. 4.2.1 hiervor).</w:t>
      </w:r>
    </w:p>
    <w:p>
      <w:r>
        <w:rPr>
          <w:b/>
        </w:rPr>
        <w:t>E. 4.3</w:t>
      </w:r>
    </w:p>
    <w:p>
      <w:r>
        <w:t>Weiter ist strittig, inwiefern Fürsorgeleistungen des Sozialdienstes X.________ verrechnet werden können.</w:t>
      </w:r>
    </w:p>
    <w:p>
      <w:r>
        <w:rPr>
          <w:b/>
        </w:rPr>
        <w:t>E. 4.3.1</w:t>
      </w:r>
    </w:p>
    <w:p>
      <w:r>
        <w:t>Hat eine private oder eine öffentliche Fürsorgestelle einer Person im Hinblick auf Ergänzungsleistungen Vorschussleistungen für den Lebensunterhalt während einer Zeitspanne gewährt, für die rückwirkend Ergänzungsleistungen ausgerichtet werden, so kann ihr bei der Nachzahlung dieser Vorschuss direkt vergütet werden ( Art. 22 Abs. 4 ELV ; vgl. betreffend der kantonalen Zusatzleistungen § 23 ZLG). Die direkte Nachzahlung von Ergänzungsleistungen an Sozialhilfebehörden setzt u.a. voraus, dass die Vorschüsse die gleiche Periode betreffen (zeitliche Kongruenz; vgl. BGE 132 V 113 E. 3.2.2).</w:t>
      </w:r>
    </w:p>
    <w:p>
      <w:r>
        <w:rPr>
          <w:b/>
        </w:rPr>
        <w:t>E. 4.3.2</w:t>
      </w:r>
    </w:p>
    <w:p>
      <w:r>
        <w:t>Mit den beiden Verfügungen vom 8. Dezember 2016 bzw. dem Einspracheentscheid vom 8. März 2018 wies die Ausgleichskasse insgesamt Fr. 27'553.55 (Fr. 13'777.55 + Fr. 13'776.-) zur Auszahlung an den Sozialdienst X.________ an. Die Vorinstanz hielt dazu fest, dass diese Verrechnung unter Ausschluss der Rückerstatttungsforderung des Sozialdienstes für den Monat Dezember 2016 (Fr. 26'291.55) bei der Nachzahlung an die Beschwerdeführerin zu berücksichtigen sei. Die Beschwerdeführer bringen dagegen vor, es fehle an der erforderlichen zeitlichen Kongruenz zwischen dem Nachzahlungsanspruch des Beschwerdeführers und den Unterstützungszahlungen der Gemeinde X.________, weshalb der Beschwerdeführer Anspruch auf eine ungekürzte Nachzahlung habe. Mit dieser Begründung zeigen die Beschwerdeführer nicht auf, inwiefern die vorinstanzliche Erwägung bundesrechtswidrig sein soll, wonach die Rückerstattungsforderung des Sozialdienstes bei der Nachzahlung an die Beschwerdeführerin zu berücksichtigten ist. Sie legen insbesondere nicht dar, inwiefern der Nachzahlungsanspruch der Beschwerdeführerin und die vorinstanzlich zugelassene Rückforderung des Sozialdienstes verschiedene Zeiträume betreffen. Die zeitliche Kongruenz spricht somit nicht gegen eine Drittauszahlung an die Gemeinde X.________.</w:t>
      </w:r>
    </w:p>
    <w:p>
      <w:r>
        <w:rPr>
          <w:b/>
        </w:rPr>
        <w:t>E. 4.4</w:t>
      </w:r>
    </w:p>
    <w:p>
      <w:r>
        <w:t>Zusammenfassend ist festzuhalten, dass das angefochtene Urteil aufzuheben und die Sache an die Verwaltung zurückzuweisen ist, damit sie im Sinne der vorstehenden Erwägungen eine neue Berechnung vornimmt. Gestützt darauf wird sie neu entscheiden. Dabei wird sie die Grenzen der Parteibegehren im vorliegenden Verfahren zu berücksichtigen haben ( Art. 107 Abs. 1 BGG ), die im Fall einer Rückweisung auch die vorinstanzlichen Behörden binden (vgl. Urteil 8C_419/2018 vom 11. Dezember 2018 E. 4.5 mit Hinweisen).</w:t>
      </w:r>
    </w:p>
    <w:p>
      <w:r>
        <w:rPr>
          <w:b/>
        </w:rPr>
        <w:t>E. 5</w:t>
      </w:r>
    </w:p>
    <w:p>
      <w:r>
        <w:t>Das Verfahren ist kostenpflichtig ( Art. 65 Abs. 1 BGG ). Die Gerichtskosten werden der Beschwerdegegnerin als unterliegender Partei auferlegt ( Art. 66 Abs. 1 BGG ). Sie hat den Beschwerdeführern eine Parteientschädigung auszurichten ( Art. 66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