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562/2010 vom 29. April 2011</w:t>
      </w:r>
    </w:p>
    <w:p>
      <w:r>
        <w:t>Bundesgericht, 2011-04-29, IT</w:t>
      </w:r>
    </w:p>
    <w:p>
      <w:r>
        <w:rPr>
          <w:b/>
        </w:rPr>
        <w:t xml:space="preserve">Quelle: </w:t>
      </w:r>
      <w:r>
        <w:t>https://mcp.opencaselaw.ch/entscheid/bger_9C_562_2010</w:t>
      </w:r>
    </w:p>
    <w:p>
      <w:r>
        <w:t>FR: TF 9C 562/2010 du 29 avril 2011</w:t>
      </w:r>
    </w:p>
    <w:p>
      <w:r>
        <w:t>IT: TF 9C 562/2010 del 29 aprile 2011</w:t>
      </w:r>
    </w:p>
    <w:p>
      <w:pPr>
        <w:pStyle w:val="Heading2"/>
      </w:pPr>
      <w:r>
        <w:t>Regeste</w:t>
      </w:r>
    </w:p>
    <w:p>
      <w:r>
        <w:t>Assicurazione contro le malattie | Assicurazione contro le malattie</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133 I 185 consid. 2 pag. 188 con riferimenti; 133 II 249 consid. 1.1 pag. 251).</w:t>
      </w:r>
    </w:p>
    <w:p>
      <w:r>
        <w:rPr>
          <w:b/>
        </w:rPr>
        <w:t>E. 1.2</w:t>
      </w:r>
    </w:p>
    <w:p>
      <w:r>
        <w:t>Dal momento che l'istanza precedente ha rinviato la causa all'assicuratore malattia per complemento istruttorio e nuova decisione, si è in presenza di una decisione incidentale che non ha per oggetto la competenza o la ricusazione ( art. 92 LTF ) e che di conseguenza è separatamente impugnabile solo alle condizioni dell' art. 93 LTF . L'ammissibilità del ricorso presuppone pertanto - in via alternativa - che la pronuncia possa causare un pregiudizio irreparabile (cpv. 1 lett. a) oppure che l'accoglimento del ricorso comporterebbe immediatamente una decisione finale consentendo di evitare una procedura probatoria defatigante o dispendiosa (cpv. 1 lett. b).</w:t>
      </w:r>
    </w:p>
    <w:p>
      <w:r>
        <w:rPr>
          <w:b/>
        </w:rPr>
        <w:t>E. 1.3</w:t>
      </w:r>
    </w:p>
    <w:p>
      <w:r>
        <w:t>Per quel che è della prima condizione, un pregiudizio irreparabile ai sensi dell' art. 93 cpv. 1 lett. a LTF è un danno che non può essere riparato ulteriormente da un giudizio finale o da un'altra decisione favorevole al ricorrente ( DTF 133 IV 139 consid. 4 pag. 141, 288 consid. 3.1). Secondo giurisprudenza, una decisione di rinvio non causa di regola un pregiudizio irreparabile ai sensi dell' art. 93 cpv. 1 lett. a LTF poiché la persona interessata potrà impugnarla successivamente insieme alla decisione finale ( art. 93 cpv. 3 LTF ). Una decisione con la quale una causa viene rinviata all'istanza precedente per nuovi accertamenti e decisione non provoca di principio un pregiudizio irreparabile poiché determina unicamente una dilazione della procedura. Tuttavia se obbliga, mediante disposizioni di diritto sostanziale, l'amministrazione a emanare un provvedimento che essa reputa contrario al diritto, la decisione di rinvio è considerata causarle un pregiudizio irreparabile ai sensi dell' art. 93 cpv. 1 lett. a LTF ( DTF 133 V 477 consid. 5.2 pag. 483; cfr. pure sentenza 9C_703/2009 del 30 ottobre 2009 consid. 2.1 con riferimenti). È quanto si verifica manifestamente nel caso di specie, ritenuto che il Tribunale cantonale non soltanto ha ordinato alla cassa ricorrente di effettuare ulteriori accertamenti, ma le ha anche ingiunto di esaminare la fattispecie alla luce del (solo) diritto internazionale, ad esclusione del diritto interno, e di verificare (tra le altre cose) se vi fosse una necessità medica dell'intervento - ma non un'urgenza come per contro invocato dall'assicuratore malattia in base al diritto interno ( art. 36 cpv. 2 OAMal ) - per permettere all'assicurato di continuare il suo soggiorno all'estero (art. 22 n. 1 lett. a punto i del regolamento [CEE] n. 1408/71 [RS 0.831.109.268.1]). Per il resto, il dispositivo del giudizio cantonale rinvia ai considerandi che in questo modo sono parte integrante del dispositivo medesimo (v. sentenza citata 9C_703/2009 consid. 2.2). Ne discende che la decisione di rinvio è separatamente impugnabile al Tribunale federale senza che occorra esaminare ulteriormente la seconda ipotesi di ammissibilità dell' art. 93 cpv. 1 lett. b LTF .</w:t>
      </w:r>
    </w:p>
    <w:p>
      <w:r>
        <w:rPr>
          <w:b/>
        </w:rPr>
        <w:t>E. 2</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agli argomenti sollevati nel ricorso né ai motivi addotti dall'autorità precedente. Nondimeno, in considerazione delle esigenze di motivazione di cui all' art. 42 cpv. 1 e 2 LTF , la cui mancata ottemperanza conduce all'inammissibilità del gravame ( art. 108 cpv. 1 lett. b LTF ; DTF 133 III 589 consid. 2 pag. 591 seg.), il Tribunale federale esamina di principio unicamente le censure sollevate; non è tenuto, come lo è invece un'autorità di prima istanza, ad esaminare tutte le questioni giuridiche possibili, se queste non gli vengono (più) riproposte ( DTF 133 II 249 consid. 1.4.1 pag. 254, 545 consid. 2.2).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La LAMal è retta dal principio di territorialità. Tuttavia, a norma dell' art. 34 cpv. 2 LAMal ,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 art. 36 OAMal ,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128 V 75 ).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quindi salve le disposizioni sull'assistenza reciproca internazionale in materia di prestazioni ( art. 36 cpv. 5 OAMal ).</w:t>
      </w:r>
    </w:p>
    <w:p>
      <w:r>
        <w:rPr>
          <w:b/>
        </w:rPr>
        <w:t>E. 3.2</w:t>
      </w:r>
    </w:p>
    <w:p>
      <w:r>
        <w:t>Giusta l' art. 95a LAMal (nel suo tenore applicabile in concreto, in vigore fino al 31 maggio 2009), per le persone designate nell'articolo 2 del regolamento n. 1408/712 e in relazione con le prestazioni previste nell'articolo 4 di questo regolamento, purché siano comprese nel campo d'applicazione della presente legge, sono applicabili anche: l'Accordo del 21 giugno 19994 tra la Confederazione Svizzera, da una parte, e la Comunità europea ed i suoi Stati membri, dall'altra, sulla libera circolazione delle persone, nella versione del Protocollo del 26 ottobre 2004 relativo all'estensione dell'Accordo ai nuovi Stati membri della Comunità europea (ALC), il suo allegato II e i regolamenti n. 1408/71 e n. 574/727 nella loro versione aggiornata (lett. a);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Merita in questo contesto di essere ricordato in particolare l'art. 22 n. 1 lett. a punto i del regolamento 1408/71, in base al quale - secondo il testo applicabile in concreto, modificato dalla decisione n. 1/2006 del Comitato UE-Svizzera del 6 luglio 2006 -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w:t>
      </w:r>
    </w:p>
    <w:p>
      <w:r>
        <w:rPr>
          <w:b/>
        </w:rPr>
        <w:t>E. 4.1</w:t>
      </w:r>
    </w:p>
    <w:p>
      <w:r>
        <w:t>Distanziandosi dalla valutazione dell'assicuratore malattia, che aveva esaminato la domanda di rimborso alla luce dell' art. 36 cpv. 2 OAMal , il giudice cantonale ha ritenuto che l'urgenza - pur andando esclusa per una serie di motivi (intervallo di tre giorni tra gli esami del 28 novembre e l'intervento del 1° dicembre 2008, durante i quali l'assicurato non è stato degente in ospedale, bensì presso un amico; dichiarazione di consenso all'intervento del 1° dicembre 2008 in cui l'interessato ha posto la crocetta alla voce "paziente sano, rischio normale" e non a quella indicante "intervento chirurgico in emergenza") - non era comunque una condizione necessaria per la presa a carico dei costi fatti valere poiché bastava una semplice necessità medica (anche se non immediata) di intervento che permettesse all'assicurato di continuare il suo soggiorno all'estero. Ravvisando una applicazione non corretta dell'ALC, egli ha quindi rinviato la causa all'assicuratore affinché interpellasse nuovamente un (altro) medico e, dopo avergli sottoposto la documentazione, stabilisse se l'intervento effettuato a Y._________ fosse necessario per la continuazione di tale soggiorno, previsto dal 24 novembre al 3 dicembre 2008, compreso il successivo viaggio verso il B._________. Posto come avesse già segnalato alle parti - sulla scorta di accertamenti effettuati in altra vertenza - che la Casa di cura X.________. è una struttura privata, il giudice di prime cure ha inoltre fatto obbligo all'assicuratore di accertare, con l'ausilio dell'istituzione competente italiana, se per un ricovero come quello in esame presso un istituto privato non convenzionato, ci sarebbe stato spazio per un rimborso e, nell'ipotesi affermativa, di quale entità.</w:t>
      </w:r>
    </w:p>
    <w:p>
      <w:r>
        <w:rPr>
          <w:b/>
        </w:rPr>
        <w:t>E. 4.2</w:t>
      </w:r>
    </w:p>
    <w:p>
      <w:r>
        <w:t>Facendo valere una violazione del diritto in materia, la Cassa ricorrente contesta la valutazione della Corte cantonale e pretende la sola applicazione del diritto svizzero, e più precisamente dell' art. 36 cpv. 2 OAMal , cui rinvierebbe nella fattispecie anche l' art. 13 n. 1 del regolamento 1408/71. Dal momento che il trattamento dispensato all'opponente andrebbe esaminato alla luce dell' art. 36 cpv. 2 OAMal e che anche la Corte cantonale avrebbe escluso, per i motivi evocati dal proprio medico di fiducia dott. O._________, i presupposti dell'urgenza, la Caisse Vaudoise ribadisce l'impossibilità di concedere il rimborso delle spese.</w:t>
      </w:r>
    </w:p>
    <w:p>
      <w:r>
        <w:rPr>
          <w:b/>
        </w:rPr>
        <w:t>E. 5.1</w:t>
      </w:r>
    </w:p>
    <w:p>
      <w:r>
        <w:t>Come osserva pertinentemente l'UFAS, il diritto nazionale è applicabile nella misura in cui non intervengono disposizioni sull'assistenza reciproca internazionale in materia di prestazioni. È quanto riserva del resto espressamente l' art. 36 cpv. 5 OAMal .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(Eugster, op. cit., no. 495 - 498 pag. 566).</w:t>
      </w:r>
    </w:p>
    <w:p>
      <w:r>
        <w:rPr>
          <w:b/>
        </w:rPr>
        <w:t>E. 5.2</w:t>
      </w:r>
    </w:p>
    <w:p>
      <w:r>
        <w:t>Il diritto nazionale e in particolare l' 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Come indica correttamente l'UFAS e per quanto esposto al considerando precedente,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italiana, come sembrerebbe ritenere il Tribunale cantonale con riferimento alla Casa di cura X.________.,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 art. 36 OAMal (Eugster, op. cit., no. 539 pag. 577).</w:t>
      </w:r>
    </w:p>
    <w:p>
      <w:r>
        <w:rPr>
          <w:b/>
        </w:rPr>
        <w:t>E. 5.3</w:t>
      </w:r>
    </w:p>
    <w:p>
      <w:r>
        <w:t>Posto quanto sopra, se confermata - come sembrerebbe - la natura privata non convenzionata della Casa di cura X.________., resterebbe da accertare il sistema di fatturazione di quest'ultima nel caso di specie. Dovesse risultare che la Casa di cura ha effettivamente fatturato le proprie prestazioni secondo tariffe private e al di fuori del sistema sociale (italiano) di copertura sanitaria, la richiesta di rimborso andrà trattata unicamente alle condizioni ed entro i limiti posti dall' art. 36 OAMal (cfr. a tal proposito SVR 2010 KV n. 18 pag. 70 [9C_35/2010] consid. 3 - 5). Se per contro dovesse risultare che la struttura in questione ha fornito le proprie prestazioni nell'ambito di tale sistema, la domanda di rimborso soggiacerà alle disposizioni sull'assistenza reciproca internazionale in materia di prestazioni (art. 22 n. 1 lett. a regolamento 1408/71 e art. 34 regolamento di applicazione 574/72) e l'assicuratore ricorrente dovrà effettivamente stabilire - come disposto dalla Corte cantonale - se l'intervento eseguito a Y._________ era necessario dal punto di vista medico per la continuazione del soggiorno all'estero (le cui modalità, vista la vicinanza al luogo di residenza abituale, andrebbero comunque meglio chiarite) e per quindi impedire che l'assicurato fosse costretto a rientrare anzitempo in Svizzera (cfr. la decisione n. 194 del 17 dicembre 2003 della Commissione amministrativa delle Comunità europee per la sicurezza sociale dei lavoratori migranti concernente l'applicazione uniforma dell'art. 22 n. 1 lettere a e i: GU 2004 L 104 pag. 127 seg.). Ne discende che, pur dovendo confermare il rinvio degli atti all'assicuratore ricorrente, i termini di questo rinvio vanno in parte precisati e modificati. In questa misura il giudizio cantonale è modificato e il ricorso - seppur con una argomentazione alquanto diversa da quella utilizzata dalla Cassa ricorrente - accolto.</w:t>
      </w:r>
    </w:p>
    <w:p>
      <w:r>
        <w:rPr>
          <w:b/>
        </w:rPr>
        <w:t>E. 6</w:t>
      </w:r>
    </w:p>
    <w:p>
      <w:r>
        <w:t>Le spese seguono la soccombenza e sono poste a carico dell'opponente ( art. 66 cpv. 1 LTF ). Nessuna indennità per ripetibili è per contro assegnata all'assicuratore malattia ricorrente, quest'ultimo essendo qualificabile alla stregua di una organizzazione incaricata di compiti di diritto pubblico ai sensi dell'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