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9C_560/2021 vom 4. November 2021</w:t>
      </w:r>
    </w:p>
    <w:p>
      <w:r>
        <w:t>Bundesgericht, 2021-11-04, DE</w:t>
      </w:r>
    </w:p>
    <w:p>
      <w:r>
        <w:rPr>
          <w:b/>
        </w:rPr>
        <w:t xml:space="preserve">Quelle: </w:t>
      </w:r>
      <w:r>
        <w:t>https://mcp.opencaselaw.ch/entscheid/bger_9C_560_2021</w:t>
      </w:r>
    </w:p>
    <w:p>
      <w:r>
        <w:t>FR: TF 9C_560/2021 du 4 novembre 2021</w:t>
      </w:r>
    </w:p>
    <w:p>
      <w:r>
        <w:t>IT: TF 9C_560/2021 del 4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9C_560/2021</w:t>
      </w:r>
    </w:p>
    <w:p>
      <w:r>
        <w:t>Urteil vom 4. November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Sozialversicherungsgericht des Kantons Zürich, Lagerhausstrasse 19, 8400 Winterthur,</w:t>
      </w:r>
    </w:p>
    <w:p>
      <w:r>
        <w:t>Beschwerdegegner.</w:t>
      </w:r>
    </w:p>
    <w:p>
      <w:r>
        <w:t>Gegenstand</w:t>
      </w:r>
    </w:p>
    <w:p>
      <w:r>
        <w:t>Alters- und Hinterlassenenversicherung,</w:t>
      </w:r>
    </w:p>
    <w:p>
      <w:r>
        <w:t>Beschwerde gegen die Verfügung des Sozialversicherungsgerichts des Kantons Zürich vom</w:t>
      </w:r>
    </w:p>
    <w:p>
      <w:r>
        <w:t>16. September 2021 (EE.2021.00001).</w:t>
      </w:r>
    </w:p>
    <w:p>
      <w:r>
        <w:t>Nach Einsicht</w:t>
      </w:r>
    </w:p>
    <w:p>
      <w:r>
        <w:t>in die Beschwerde vom 22. Oktober 2021 (Postaufgabe) gegen die Verfügung des Sozialversicherungsgerichts des Kantons Zürich vom 16. September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kantonale Gericht in der angefochtenen Verfügung ein Gesuch des Beschwerdeführers um unentgeltliche Rechtsvertretung mangels Bedürftigkeit abgewiesen hat,</w:t>
      </w:r>
    </w:p>
    <w:p>
      <w:r>
        <w:t>dass die Vorinstanz dabei erwogen hat, verschiedene der vom Beschwerdeführer geltend gemachten Ausgaben seien nicht belegt,</w:t>
      </w:r>
    </w:p>
    <w:p>
      <w:r>
        <w:t>dass der Beschwerdeführer hierzu lediglich geltend macht, er wisse nicht, welche Belege er noch hätte einreichen sollen,</w:t>
      </w:r>
    </w:p>
    <w:p>
      <w:r>
        <w:t>dass den Ausführungen jedoch nichts entnommen werden kann, was darauf hindeutete, dass und inwiefern die vorinstanzlichen Sachverhaltsfeststellungen im Sinne von Art. 97 Abs. 1 BGG unzutreffend und die darauf beruhenden Erwägungen rechtsfehlerhaft (vgl. Art. 95 BGG ) sein sollten,</w:t>
      </w:r>
    </w:p>
    <w:p>
      <w:r>
        <w:t>dass die Beschwerdeschrift somit keine ausreichende Auseinandersetzung mit der (Bundes-) Rechtsmässigkeit der angefochtenen Verfügung enthält,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der Ausgleichskasse des Kantons Zürich schriftlich mitgeteilt.</w:t>
      </w:r>
    </w:p>
    <w:p>
      <w:r>
        <w:t>Luzern, 4. November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