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560/2020 vom 27. Januar 2021</w:t>
      </w:r>
    </w:p>
    <w:p>
      <w:r>
        <w:t>Bundesgericht, 2021-01-27, DE</w:t>
      </w:r>
    </w:p>
    <w:p>
      <w:r>
        <w:rPr>
          <w:b/>
        </w:rPr>
        <w:t xml:space="preserve">Quelle: </w:t>
      </w:r>
      <w:r>
        <w:t>https://mcp.opencaselaw.ch/entscheid/bger_9C_560_2020</w:t>
      </w:r>
    </w:p>
    <w:p>
      <w:r>
        <w:t>FR: TF 9C 560/2020 du 27 janvier 2021</w:t>
      </w:r>
    </w:p>
    <w:p>
      <w:r>
        <w:t>IT: TF 9C 560/2020 del 27 gennaio 2021</w:t>
      </w:r>
    </w:p>
    <w:p>
      <w:pPr>
        <w:pStyle w:val="Heading2"/>
      </w:pPr>
      <w:r>
        <w:t>Regeste</w:t>
      </w:r>
    </w:p>
    <w:p>
      <w:r>
        <w:t>Erwerbsersatz für Dienstleistende (Entschädigungsbemessung) | Erwerbersatzordnung</w:t>
      </w:r>
    </w:p>
    <w:p>
      <w:pPr>
        <w:pStyle w:val="Heading2"/>
      </w:pPr>
      <w:r>
        <w:t>Erwägungen</w:t>
      </w:r>
    </w:p>
    <w:p>
      <w:r>
        <w:rPr>
          <w:b/>
        </w:rPr>
        <w:t>E. 1.1</w:t>
      </w:r>
    </w:p>
    <w:p>
      <w:r>
        <w:t>Das Bundesgericht holt die vorinstanzlichen Akten regelmässig nach Eingang des Kostenvorschusses von Amtes wegen ein. Dies ist auch hier geschehen. Ein zweiter Schriftenwechsel findet nur ausnahmsweise auf Anordnung des Gerichts statt ( Art. 102 Abs. 3 BGG ). Vorliegend bestand kein Anlass, überhaupt einen Schriftenwechsel durchzuführen (E. 4 untenstehend). Seinen Antrag auf Akteneinsicht bzw. Zustellung der Vorakten begründet der Beschwerdeführer nicht ( Art. 42 Abs. 1 und 2 BGG ). Darauf ist nicht einzutreten. Im Ü brigen wurden die Akten der Vorinstanzen aktenkundig bereits von diesen der Rechtsvertreterin zugestellt.</w:t>
      </w:r>
    </w:p>
    <w:p>
      <w:r>
        <w:rPr>
          <w:b/>
        </w:rPr>
        <w:t>E. 1.2</w:t>
      </w:r>
    </w:p>
    <w:p>
      <w:r>
        <w:t>Der Beschwerdeführer beantragt kassatorisch die Aufhebung des kantonalen Entscheids und die Rückweisung der Sache zur neuen Festsetzung der geschuldeten Entschädigung. Sein Antrag ist indes im Lichte der dazu gegebenen Begründung nach Treu und Glauben dahingehend zu verstehen, dass er reformatorisch die Zusprache einer Entschädigung wünscht, die sich kumulativ aus Anteilen für die Teilzeiterwerbstätigkeit sowie für die Nichterwerbstätigkeit zusammensetzt, wobei die Rückweisung einzig zur Bestimmung deren Quantitativs erfolgen soll. Auf das in diesem Sinne verstandene Begehren ist einzutreten (zur Auslegung von Rechtsbegehren vgl. etwa Urteil 9C_418/2019 vom 4. November 2019 E. 1 mit Hinweis).</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 S. 61 f.).</w:t>
      </w:r>
    </w:p>
    <w:p>
      <w:r>
        <w:rPr>
          <w:b/>
        </w:rPr>
        <w:t>E. 3.1</w:t>
      </w:r>
    </w:p>
    <w:p>
      <w:r>
        <w:t>Strittig ist die Bemessung der Entschädigung für in den Jahren 2015 bis 2018 geleistete Militärdienste, wobei der Beschwerdeführer geltend macht, es sei ihm nebst der Entschädigung gestützt auf den Status als Erwerbstätiger eine anteilsmässige Entschädigung gestützt auf den Status als Nichterwerbstätiger (Student) auszurichten.</w:t>
      </w:r>
    </w:p>
    <w:p>
      <w:r>
        <w:rPr>
          <w:b/>
        </w:rPr>
        <w:t>E. 3.2</w:t>
      </w:r>
    </w:p>
    <w:p>
      <w:r>
        <w:t>Die Vorinstanz erwog hierzu im Wesentlichen, der Gesetzgeber qualifiziere jede versicherte Person entweder als Erwerbstätige oder Nichterwerbstätige ( Art. 10 EOG ; Art. 2 EOV ). Dass eine Kumulation der Entschädigung für Erwerbstätige und Nichterwerbstätige nicht beabsichtigt sei, ergebe sich nicht nur aus der Regelung der Entschädigung, sondern auch aus derjenigen der Beiträge ( Art. 27 Abs. 2 EOG ). Die Tatsache, dass ein Teilzeiterwerbstätiger - anders als ein vollzeitlich Erwerbstätiger - nicht für ein vollzeitliches Erwerbspensum entschädigt werde, stelle keine unsachgemässe Schlechterstellung dar. Der Teilerwerbstätige erhalte zudem im Minimum die Entschädigung, die einem Nichterwerbstätigen zustehe, weshalb auch im Vergleich zu diesem keine Schlechterstellung vorliege. Da der Versicherte vor den jeweiligen Diensten unbestritten einer teilzeitlichen Erwerbstätigkeit nachgegangen sei, erweise sich die Qualifikation als Erwerbstätiger als rechtens.</w:t>
      </w:r>
    </w:p>
    <w:p>
      <w:r>
        <w:rPr>
          <w:b/>
        </w:rPr>
        <w:t>E. 3.3</w:t>
      </w:r>
    </w:p>
    <w:p>
      <w:r>
        <w:t>Was der Beschwerdeführer dagegen vorbringt, vermag die vorinstanzliche Rechtsauffassung nicht in Frage zu stellen. Insbesondere verkennt der Versicherte mit seiner Argumentation, wonach er für die geleistete volle Tätigkeit in der Armee zu 100 % zu entschädigen sei, dass es sich bei den Entschädigungen nach dem EOG eben gerade - bereits dem Namen nach - nicht um Dienstlohn handelt, der für alle Dienstleistenden gleichermassen nach dem geleisteten (i.d.R. vollen) Pensum zu bemessen wäre, sondern um Erwerbsersatz, der grundsätzlich - vorbehältlich der minimalen Entschädigung für Nichterwerbstätige - am durchschnittlichen vordienstlichen Erwerbseinkommen zu bemessen ist ( Art. 10 Abs. 1 EOG ). Auf die vorinstanzlichen Ausführungen zur Qualifikation einer Person entweder als erwerbs- oder als nichterwerbstätig (tertium non datur) sowie zum Fehlen einer unsachgemässen Ungleichbehandlung der teilzeitlich Erwerbstätigen kann ohne Weiterungen verwiesen werden.</w:t>
      </w:r>
    </w:p>
    <w:p>
      <w:r>
        <w:rPr>
          <w:b/>
        </w:rPr>
        <w:t>E. 4</w:t>
      </w:r>
    </w:p>
    <w:p>
      <w:r>
        <w:t>Die Beschwerde ist offensichtlich unbegründet, weshalb sie im vereinfachten Verfahren nach Art. 109 Abs. 2 lit. a BGG - ohne Durchführung eines Schriftenwechsels, mit summarischer Begründung und unter Hinweis auf die Erwägungen im angefochtenen Entscheid ( Art. 109 Abs. 3 BGG ) - erledigt wird.</w:t>
      </w:r>
    </w:p>
    <w:p>
      <w:r>
        <w:rPr>
          <w:b/>
        </w:rPr>
        <w:t>E. 5</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