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560/2017 vom 17. Oktober 2017</w:t>
      </w:r>
    </w:p>
    <w:p>
      <w:r>
        <w:t>Bundesgericht, 2017-10-17, DE</w:t>
      </w:r>
    </w:p>
    <w:p>
      <w:r>
        <w:rPr>
          <w:b/>
        </w:rPr>
        <w:t xml:space="preserve">Quelle: </w:t>
      </w:r>
      <w:r>
        <w:t>https://mcp.opencaselaw.ch/entscheid/bger_9C_560_2017</w:t>
      </w:r>
    </w:p>
    <w:p>
      <w:r>
        <w:t>FR: TF 9C 560/2017 du 17 octobre 2017</w:t>
      </w:r>
    </w:p>
    <w:p>
      <w:r>
        <w:t>IT: TF 9C 560/2017 del 17 ottobre 2017</w:t>
      </w:r>
    </w:p>
    <w:p>
      <w:pPr>
        <w:pStyle w:val="Heading2"/>
      </w:pPr>
      <w:r>
        <w:t>Regeste</w:t>
      </w:r>
    </w:p>
    <w:p>
      <w:r>
        <w:t>Invalidenversicherung (Hilflosenentschädigung)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Vorinstanz hat die Bestimmungen und Grundsätze über die Hilflosigkeit ( Art. 9 ATSG ), den Anspruch auf Hilflosenentschädigung und die für deren Höhe wesentliche Unterscheidung dreier Hilflosigkeitsgrade ( Art. 42 Abs. 1 und 2 IVG ; Art. 37 Abs. 1 bis 3 IVV) sowie die massgebenden sechs alltäglichen Lebensverrichtungen (An- und Auskleiden; Aufstehen, Absitzen und Abliegen; Essen; Körperpflege; Verrichtung der Notdurft sowie Fortbewegung und Kontaktaufnahme; BGE 133 V 450 E. 7.2 S. 463 mit Hinweisen; Urteil 9C_457/2015 vom 21. Oktober 2015 E. 2.1; vgl. auch Ziff. 8010 des Kreisschreibens des Bundesamt für Sozialversicherungen [BSV] über Invalidität und Hilflosigkeit in der Invalidenversicherung [KSIH]) zutreffend dargelegt. Darauf wird verwiesen. Zu wiederholen ist, dass eine Hilflosigkeit (u.a.) dann als mittelschwer gilt, wenn die versicherte Person trotz der Abgabe von Hilfsmitteln in den meisten alltäglichen Lebensverrichtungen regelmässig in erheblicher Weise auf die Hilfe Dritter angewiesen ist ( Art. 37 Abs. 2 lit. a IVV ). Praxisgemäss ist dies der Fall, wenn die Dritthilfe in mindestens vier Bereichen notwendig ist (Urteil 9C_809/2015 vom 10. August 2016 E. 6.1; ferner Ziff. 8009 KSIH).</w:t>
      </w:r>
    </w:p>
    <w:p>
      <w:r>
        <w:rPr>
          <w:b/>
        </w:rPr>
        <w:t>E. 3</w:t>
      </w:r>
    </w:p>
    <w:p>
      <w:r>
        <w:t>Das kantonale Gericht ging zunächst auf die von der IV-Stelle bejahte Frage danach ein, ob die Hilflosigkeit des Versicherten bei der Verrichtung der Notdurft durch die Benutzung eines Closomaten vermieden werden könne. Hierzu erwog es im Wesentlichen, dem Versicherten sei die Benutzung eines Closomaten, bzw. jedenfalls ein diesbezüglicher Versuch, im Sinne der Schadenminderungspflicht zumutbar. Gestützt auf einen Bericht der behandelnden Kinderärztin Dr. med. B.________ vom 10. Januar 2017 erachtete die Vorinstanz jedoch als erstellt, dass auch bei Benutzung dieses Hilfsmittels die Mutter oder eine Drittperson die Analregion des Versicherten nach dem Stuhlgang mit einer speziellen Seife waschen und mit Salbe eincremen müsse, um eine chronische Anitis zu verhindern. Hierbei handle es sich zweifellos um eine Dritthilfe in direktem Zusammenhang mit der Verrichtung der Notdurft, die täglich, also regelmässig, notwendig sei. Zusammenfassend ergebe sich, dass der Versicherte im Bereich "Verrichtung der Notdurft" nach wie vor regelmässig in erheblicher Weise auf Dritthilfe angewiesen sei. Dies führe dazu, dass er - bei unbestrittener Hilflosigkeit in den Lebensbereichen "An- und Auskleiden", "Körperpflege" und "Fortbewegung" - weiterhin Anspruch auf eine Entschädigung für Hilflosigkeit mittleren Grades habe. Damit erübrige sich die Prüfung der Hilflosigkeit in den Lebensbereichen "Aufstehen/Absitzen/Abliegen" sowie "Essen".</w:t>
      </w:r>
    </w:p>
    <w:p>
      <w:r>
        <w:rPr>
          <w:b/>
        </w:rPr>
        <w:t>E. 4.1</w:t>
      </w:r>
    </w:p>
    <w:p>
      <w:r>
        <w:t>Nach den verbindlichen (E. 1 hievor) und unbestritten gebliebenen Feststellungen der Vorinstanz sind - auch bei Benutzung eines Closomaten - Hilfestellungen durch die Mutter (Reinigung mit einer speziellen Seife nach dem Stuhlgang sowie Eincremen) notwendig, um eine chronische Anitis zu verhindern.</w:t>
      </w:r>
    </w:p>
    <w:p>
      <w:r>
        <w:rPr>
          <w:b/>
        </w:rPr>
        <w:t>E. 4.2</w:t>
      </w:r>
    </w:p>
    <w:p>
      <w:r>
        <w:t>Die Beschwerdeführerin macht geltend, die Pflege durch die Mutter zur Verhinderung einer chronischen Anitis stelle eine Behandlungs- und Grundpflege i.S.v. Art. 39 Abs. 2 IVV dar. Sie beziehe sich nicht auf die alltäglichen Lebensverrichtungen (diesbezüglich verweist sie auf Ziff. 8032 KSIH). Demnach sei der Versicherte in der Verrichtung der Notdurft selbständig, sei ihm doch nach verbindlicher Feststellung des Urner Obergerichts die Benutzung eines Closomaten zumutbar. Dem kann nicht gefolgt werden. Die Körperreinigung nach dem Toilettengang - die hier mit einer speziellen Seife durchgeführt werden muss - ist nach ständiger Rechtsprechung eine Teilfunktion der Lebensverrichtung "Notdurft" ( BGE 121 V 88 E. 6 S. 93 ff.; Urteil P 42/91 vom 13. Dezember 1991 E. 3c; Urteil 9C_457/2015 vom 21. Oktober 2015 E. 2.3.2; vgl. überdies Ziff. 8010 und 8021 KSIH). Für die Hilfsbedürftigkeit in einer Lebensverrichtung mit mehreren Teilfunktionen ist nicht verlangt, dass die versicherte Person bei allen oder einer Mehrzahl dieser Teilfunktionen fremder Hilfe bedarf. Vielmehr genügt es, wenn sie - wie in concreto - bei einer Funktion auf Dritthilfe (zur Regelmässigkeit und Erheblichkeit vgl. E. 4.3 hernach) angewiesen ist ( BGE 117 V 146 E. 2 S. 148 mit Hinweis). Unter diesen Umständen ist nicht mehr zu prüfen, wie es sich mit dem im Anschluss an die Reinigung notwendigen Eincremen verhält, das gemäss der Beschwerdeführerin nicht zu den alltäglichen Lebensverrichtungen gehört.</w:t>
      </w:r>
    </w:p>
    <w:p>
      <w:r>
        <w:rPr>
          <w:b/>
        </w:rPr>
        <w:t>E. 4.3</w:t>
      </w:r>
    </w:p>
    <w:p>
      <w:r>
        <w:t>Für den Fall, dass die notwendige Pflege durch die Mutter unter den Lebensbereich "Verrichtung der Notdurft" zu subsumieren sein sollte, bringt die Beschwerdeführerin vor, diese sei zwar regelmässig notwendig, jedoch nicht erheblich im Sinne von Art. 37 Abs. 1 IVV , weil sie von der Mutter oder einem Lehrer an der Sonderschule des Versicherten ohne Weiteres erwartet werden dürfe. Auch diese Rüge geht fehl. Erheblich ist die Hilfe, wenn die versicherte Person mindestens eine Teilfunktion einer einzelnen Lebensverrichtung nicht mehr, nur mit unzumutbarem Aufwand, oder nur auf unübliche Art und Weise selbst ausüben kann oder wegen ihres psychischen Zustandes ohne besondere Aufforderung nicht vornehmen würde (erwähntes Urteil 9C_809/2015 E. 5.1.2 mit Hinweisen; vgl. überdies Ziff. 8026 KSIH). Entsprechend kommt es nicht darauf an, welche Hilfestellungen von einer Mutter oder einem Sonderschullehrer erwartet werden dürfen, sondern entscheidend ist allein die Unfähigkeit des Versicherten, eine Teilfunktion einer Lebensverrichtung selbständig auszuüben. Diese ist hier gegeben. Konkret kann der Versicherte die Körperreinigung nicht (in genügender Weise) selbständig vornehmen, sondern bedarf hierzu der Hilfe der Mutter oder einer Drittperson. Ist er folglich bei der Verrichtung der Notdurft nach wie vor auf regelmässige und erhebliche Dritthilfe angewiesen, liegt eine Hilfsbedürftigkeit in (mindestens) vier von sechs Lebensbereichen vor, womit weiterhin Anspruch auf eine Entschädigung für Hilflosigkeit mittleren Grades besteht (E. 2 zweiter Absatz).</w:t>
      </w:r>
    </w:p>
    <w:p>
      <w:r>
        <w:rPr>
          <w:b/>
        </w:rPr>
        <w:t>E. 5</w:t>
      </w:r>
    </w:p>
    <w:p>
      <w:r>
        <w:t>Der vorinstanzliche Entscheid ist im Ergebnis zu bestätigen und die Beschwerde abzuweisen.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