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9C_560/2013 vom 6. September 2013</w:t>
      </w:r>
    </w:p>
    <w:p>
      <w:r>
        <w:t>Bundesgericht, 2013-09-06, DE</w:t>
      </w:r>
    </w:p>
    <w:p>
      <w:r>
        <w:rPr>
          <w:b/>
        </w:rPr>
        <w:t xml:space="preserve">Quelle: </w:t>
      </w:r>
      <w:r>
        <w:t>https://mcp.opencaselaw.ch/entscheid/bger_9C_560_2013</w:t>
      </w:r>
    </w:p>
    <w:p>
      <w:r>
        <w:t>FR: TF 9C_560/2013 du 6 septembre 2013</w:t>
      </w:r>
    </w:p>
    <w:p>
      <w:r>
        <w:t>IT: TF 9C_560/2013 del 6 settembre 2013</w:t>
      </w:r>
    </w:p>
    <w:p>
      <w:pPr>
        <w:pStyle w:val="Heading2"/>
      </w:pPr>
      <w:r>
        <w:t>Erwägungen</w:t>
      </w:r>
    </w:p>
    <w:p>
      <w:r>
        <w:rPr>
          <w:b/>
        </w:rPr>
        <w:t>E. 1.1</w:t>
      </w:r>
    </w:p>
    <w:p>
      <w:r>
        <w:t>Das kantonale Gericht erwog, entgegen der Meinung des Beschwerdeführers sei das Argument der wirtschaftlichen Abhängigkeit auch nach dem Leiturteil BGE 137 V 210 nicht relevant. Von Befangenheit könne erst die Rede sein, wenn die Gutachterin bezogen auf einen konkreten Fall voreingenommen sei. Es genüge nicht, pauschal geltend zu machen, Frau Dr. L.________ könne angesichts einer Vielzahl von für die Invalidenversicherung erstellten Gutachten nicht als unbefangen gelten. Damit habe die Verwaltung zu Recht an einer Begutachtung durch die bezeichnete Expertin festgehalten, zumal weder ein Anspruch auf einen Gutachter eigener Wahl noch auf eine diesbezügliche Einigung bestehe. Auch führe eine allfällige Pauschalvergütung der Gutachterin nicht automatisch zu deren Befangenheit.</w:t>
      </w:r>
    </w:p>
    <w:p>
      <w:r>
        <w:rPr>
          <w:b/>
        </w:rPr>
        <w:t>E. 1.2</w:t>
      </w:r>
    </w:p>
    <w:p>
      <w:r>
        <w:t>Der Beschwerdeführer hält dagegen, es bestünden starke Hinweise darauf, dass die IV-Stelle neurologische Einzelgutachten überwiegend an Frau Dr. L.________ vergebe, welche ihr Einkommen somit weitgehend aus Aufträgen der Invalidenversicherung beziehe. Daher liege eine wirtschaftliche Abhängigkeit vor, welche die Unvoreingenommenheit der Gutachterin objektiv in Frage stelle. Bei monodisziplinären Begutachtungen könnten sich die IV-Stellen den Sachverständigen nach Belieben aussuchen. Die Gefahr, dass die Verwaltung die Wahl auf das erwartete Ergebnis hin ausrichte resp. dass der Gutachter im Sinne der Erwartungen seines Auftraggebers handle, sei mithin höher als im Bereich der polydisziplinären Begutachtungen; die MEDAS stünden nur in begrenzter Anzahl zur Verfügung und würden überdies nach dem Zufallsprinzip bezeichnet.</w:t>
      </w:r>
    </w:p>
    <w:p>
      <w:r>
        <w:rPr>
          <w:b/>
        </w:rPr>
        <w:t>E. 2.1</w:t>
      </w:r>
    </w:p>
    <w:p>
      <w:r>
        <w:t>Kantonale Entscheide über Beschwerden gegen Verfügungen der IV-Stellen betreffend die Einholung von medizinischen (mono-, bi- oder polydisziplinären) Gutachten sind im Rahmen eines Zwischenverfahrens nicht an das Bundesgericht weiterziehbar, sofern nicht formelle Ablehnungsgründe ( Art. 92 Abs. 1 BGG ) beurteilt worden sind, das heisst solche, die geeignet sind, Misstrauen in die Unparteilichkeit des Sachverständigen zu erwecken ( BGE 138 V 271 E. 1.1 S. 274 und E. 3 S. 278). Fall</w:t>
      </w:r>
    </w:p>
    <w:p>
      <w:r>
        <w:t>un abhängige Vorbringen sind keine formellen Ablehnungsgründe in diesem Sinne ( BGE 138 V 271 E. 2.2.2 S. 277). Bei mono- (und bi-) disziplinären Begutachtungen führt der Umstand, dass die Bezeichnung der Gutachterperson (en), anders als bei polydisziplinären MEDAS-Gutachten, nicht zufallsbasiert erfolgt, nicht dazu, dass im Gegenzug einzelfallunabhängige, allgemein-strukturelle Einwendungen zuzulassen wären (zur Publikation bestimmtes Urteil 9C_207/2012 vom 3. Juli 2013 E. 1.2.1, 1.2.5 und 5.2.2.1).</w:t>
      </w:r>
    </w:p>
    <w:p>
      <w:r>
        <w:rPr>
          <w:b/>
        </w:rPr>
        <w:t>E. 2.2</w:t>
      </w:r>
    </w:p>
    <w:p>
      <w:r>
        <w:t>Um solche handelt es sich aber vorliegend (Ziff. 2 und 3.2 der letztinstanzlichen Beschwerdeschrift), zumal nicht ersichtlich ist, weshalb sich die geltend gemachte wirtschaftliche Abhängigkeit der Frau Dr. L.________ hier stärker auswirken sollte als dies in einer anderen vergleichbaren Sache der Fall wäre. Mit Blick auf das Ziel, möglichst beweistaugliche gutachtliche Aussagen zu erhalten, muss strukturellen Bedenken der geltend gemachten Art vielmehr im Wesentlichen indirekt, über verfahrensrechtliche Rahmenbedingungen der Auftragsvergabe, Rechnung getragen werden (vgl. das erwähnte Urteil 9C_207/2012 E. 5.2.2.1 und 5.5). Die Beweisanträge gemäss Beschwerdeschrift Ziff. 2.2.3 (Erhebung statistischer Angaben über die an Frau Dr. L.________ erteilten Aufträge und der Entschädigungsregelung) und Ziff. 4 (Eventualbegehren auf Rückweisung an die Vorinstanz zur Vornahme solcher Erhebungen) sind in diesem Sinne gegenstandslos.</w:t>
      </w:r>
    </w:p>
    <w:p>
      <w:r>
        <w:rPr>
          <w:b/>
        </w:rPr>
        <w:t>E. 2.3</w:t>
      </w:r>
    </w:p>
    <w:p>
      <w:r>
        <w:t>Vor dem Hintergrund dessen, dass die Auftragsvergabe bei monodisziplinären Begutachtungen nicht nach dem Zufallsprinzip erfolgt, beanstandet der Beschwerdeführer, dass die IV-Stelle keinen Einigungsversuch unternommen hat; ein solcher sei nach E. 5.4 von 9C_207/2012 zwingend einzuleiten. Wenn die Vorinstanz auf entsprechende Rüge hin die Frage der einvernehmlichen Gutachtenseinholung völlig unbehandelt gelassen (vgl. Urteil 9C_207/2012 E. 1.2.6 und 1.2.7) oder nur anhand allgemein gehaltener Überlegungen, ohne erkennbaren Bezug auf den konkreten Fall, erledigt hat (Urteil 8C_227/2013 vom 22. August 2013), so kann dies an sich zur Rückweisung der Sache an die Vorinstanz führen. Wie es sich in diesem Fall damit verhält, kann offen bleiben. Denn das kantonale Gericht musste sich von vornherein nur mit der Frage der Einigungsbestrebungen befassen, wenn bei der Anordnung der monodisziplinären Begutachtung grundsätzlich ein konsensorientiertes Vorgehen angezeigt gewesen war. Dies wiederum setzt voraus, dass ein zulässiger Einwand formeller (fallbezogenes formelles Ablehnungsbegehren) oder materieller (fachbezogener) Natur im Raum stand (Urteil 9C_207/2012 E. 1.2.4 in Verbindung mit E. 5.2.2.3). Das trifft hier nicht zu.</w:t>
      </w:r>
    </w:p>
    <w:p>
      <w:r>
        <w:rPr>
          <w:b/>
        </w:rPr>
        <w:t>E. 3</w:t>
      </w:r>
    </w:p>
    <w:p>
      <w:r>
        <w:t>Über die Beschwerde ist im Verfahren nach Art. 108 Abs. 1 lit. a in Verbindung mit Abs. 2 BGG zu entscheiden.</w:t>
      </w:r>
    </w:p>
    <w:p>
      <w:r>
        <w:rPr>
          <w:b/>
        </w:rPr>
        <w:t>E. 4</w:t>
      </w:r>
    </w:p>
    <w:p>
      <w:r>
        <w:t>Der Beschwerdeführer trägt die (reduzierten)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