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9C_55/2018 vom 30. Mai 2018</w:t>
      </w:r>
    </w:p>
    <w:p>
      <w:r>
        <w:t>Bundesgericht, 2018-05-30, FR</w:t>
      </w:r>
    </w:p>
    <w:p>
      <w:r>
        <w:rPr>
          <w:b/>
        </w:rPr>
        <w:t xml:space="preserve">Quelle: </w:t>
      </w:r>
      <w:r>
        <w:t>https://mcp.opencaselaw.ch/entscheid/bger_9C_55_2018</w:t>
      </w:r>
    </w:p>
    <w:p>
      <w:r>
        <w:t>FR: TF 9C_55/2018 du 30 mai 2018</w:t>
      </w:r>
    </w:p>
    <w:p>
      <w:r>
        <w:t>IT: TF 9C_55/2018 del 30 maggio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en instance fédérale sur le droit de l'assurée à une demi-rente de l'assurance-invalidité dès le 1er avril 2003, ainsi que sur le point de savoir si elle a droit à une rente d'invalidité plus élevée qu'un quart de rente du 1er mars au 31 mai 2010, trois quarts de rente du 1er juin au 30 septembre 2010 et une demi-rente dès le 1er octobre 2010. Le jugement entrepris expose - par renvoi aux considérants de la décision du 7 avril 2014 - de manière complète les dispositions légales et les principes jurisprudentiels applicables à la notion d'invalidité ( art. 8 LPGA et art. 4 LAI ), à son évaluation ( art. 16 LPGA ) et à la valeur probante des rapports et expertises médicaux. Il suffit d'y renvoyer.</w:t>
      </w:r>
    </w:p>
    <w:p>
      <w:r>
        <w:rPr>
          <w:b/>
        </w:rPr>
        <w:t>E. 3.1</w:t>
      </w:r>
    </w:p>
    <w:p>
      <w:r>
        <w:t>Invoquant la protection de la bonne foi, respectivement un déni de justice, la recourante soutient avoir relevé, tout au long de la procédure ayant duré plus de dix ans, que son degré d'invalidité ne pouvait être inférieur à celui mentionné dans la communication du 17 janvier 2005 (50 %), qui liait l'intimé.</w:t>
      </w:r>
    </w:p>
    <w:p>
      <w:r>
        <w:rPr>
          <w:b/>
        </w:rPr>
        <w:t>E. 3.2</w:t>
      </w:r>
    </w:p>
    <w:p>
      <w:r>
        <w:t>Pour autant que le grief tiré de la violation de droits constitutionnels puisse être considéré comme suffisamment motivé (consid. 1 supra), il doit être rejeté. Dans sa communication du 17 janvier 2005, l'intimé a certes informé la recourante qu'il comptait lui reconnaître le droit à une demi-rente d'invalidité dès le 1er avril 2003, ce qui impliquait cependant le prononcé d'une décision motivée. En réaction à la critique de la recourante du 18 février 2005, qui sollicitait une rente plus élevée, il a toutefois expliqué à la recourante que son dossier nécessitait un complément d'instruction, de sorte que "la notification de la décision découlant de [son] prononcé du 19 janvier 2005" était suspendue jusqu'à nouvel avis de sa part (courrier du 25 février 2005). A l'aune de ces informations, l'intimé n'a créé aucune expectative au regard du principe de la bonne foi; dès le 25 février 2005, il était en effet clair que le droit aux prestations de la recourante devait faire l'objet d'un nouvel examen et d'une décision formelle. Celle-ci a été rendue le 20 avril 2006, sans toutefois mettre fin à la procédure compte tenu de l'opposition puis du recours de l'assurée.</w:t>
      </w:r>
    </w:p>
    <w:p>
      <w:r>
        <w:t>Quant au déni de justice, il ne suffit pas d'invoquer "se battre" depuis plus de dix ans pour établir la violation de ce droit constitutionnel.</w:t>
      </w:r>
    </w:p>
    <w:p>
      <w:r>
        <w:t>En tant que la recourante semble se plaindre ensuite du fait que des mesures de reclassement d'ordre professionnel n'auraient pas été ordonnées, il lui aurait incombé de contester la décision y relative du 19 janvier 2005.</w:t>
      </w:r>
    </w:p>
    <w:p>
      <w:r>
        <w:rPr>
          <w:b/>
        </w:rPr>
        <w:t>E. 4.1</w:t>
      </w:r>
    </w:p>
    <w:p>
      <w:r>
        <w:t>Se prévalant de l'arbitraire, la recourante critique ensuite la fixation de ses revenus avec et sans invalidité. A supposer que la décision attaquée contienne des constatations suffisantes, elle soutient que la juridiction cantonale a fixé un revenu d'invalide irréaliste et que ses revenus sans invalidité doivent "indiscutablement être revus à la hausse".</w:t>
      </w:r>
    </w:p>
    <w:p>
      <w:r>
        <w:rPr>
          <w:b/>
        </w:rPr>
        <w:t>E. 4.2</w:t>
      </w:r>
    </w:p>
    <w:p>
      <w:r>
        <w:t>En tant que la recourante affirme que la juridiction cantonale n'a tout d'abord pas fixé ses revenus d'invalide pour les années 2004 à 2016, ainsi que ses revenus sans invalidité pour les années 2004 à 2006, une lecture attentive du jugement attaqué révèle que les premiers juges ont confirmé pour l'essentiel les montants retenus à ce titre par l'administration (consid. 4a du jugement entrepris). Ces derniers ont uniquement ajouté certaines indemnités en faveur de l'assurée.</w:t>
      </w:r>
    </w:p>
    <w:p>
      <w:r>
        <w:t>Pour le reste, en se limitant à qualifier d'irréalistes les revenus constatés par la juridiction cantonale, sans leur opposer d'élément concret, la recourante ne démontre pas l'inexactitude manifeste des faits retenus. Il n'y a donc pas lieu de s'en écarter (consid. 1 supra).</w:t>
      </w:r>
    </w:p>
    <w:p>
      <w:r>
        <w:rPr>
          <w:b/>
        </w:rPr>
        <w:t>E. 4.3</w:t>
      </w:r>
    </w:p>
    <w:p>
      <w:r>
        <w:t>L'argumentation de la recourante ne met finalement pas en évidence des circonstances susceptibles d'établir que la juridiction cantonale aurait violé le droit fédéral en opérant un abattement de 15 % et non de 25 % sur le salaire statistique retenu à titre de revenu d'invalide. En particulier, les premiers juges n'ont pas excédé ou abusé de leur pouvoir d'appréciation en retenant comme motifs de réduction l'âge, l'éventuelle perte au niveau de l'ancienneté et les limitations fonctionnelles de la recourante. C'est en vain que la recourante invoque son âge, dûment pris en compte par la juridiction cantonale, ainsi que l'éloignement du marché du travail depuis plus de quinze ans; il ne s'agit pas là d'un facteur d'abattement au sens de la jurisprudence ( ATF 126 V 75 consid. 5b/bb p. 80).</w:t>
      </w:r>
    </w:p>
    <w:p>
      <w:r>
        <w:rPr>
          <w:b/>
        </w:rPr>
        <w:t>E. 5</w:t>
      </w:r>
    </w:p>
    <w:p>
      <w:r>
        <w:t>Compte tenu de ce qui précède, le recours est mal fondé.</w:t>
      </w:r>
    </w:p>
    <w:p>
      <w:r>
        <w:rPr>
          <w:b/>
        </w:rPr>
        <w:t>E. 6</w:t>
      </w:r>
    </w:p>
    <w:p>
      <w:r>
        <w:t>La recourante,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