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9C_55/2016 vom 14. Juli 2016</w:t>
      </w:r>
    </w:p>
    <w:p>
      <w:r>
        <w:t>Bundesgericht, 2016-07-14, FR</w:t>
      </w:r>
    </w:p>
    <w:p>
      <w:r>
        <w:rPr>
          <w:b/>
        </w:rPr>
        <w:t xml:space="preserve">Quelle: </w:t>
      </w:r>
      <w:r>
        <w:t>https://mcp.opencaselaw.ch/entscheid/bger_9C_55_2016</w:t>
      </w:r>
    </w:p>
    <w:p>
      <w:r>
        <w:t>FR: TF 9C_55/2016 du 14 juillet 2016</w:t>
      </w:r>
    </w:p>
    <w:p>
      <w:r>
        <w:t>IT: TF 9C_55/2016 del 14 luglio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Dans la mesure où le contexte social dans lequel évoluait la recourante, marqué par des difficultés de couple et des problèmes financiers, était demeuré exactement le même et qu'il était manifestement en lien direct avec les angoisses et les inquiétudes de celle-ci, la juridiction cantonale a retenu que l'état de santé de la recourante ne s'était pas aggravé depuis la première décision de refus de rente, les plaintes ne reposant sur aucun substrat médical, mais sur des facteurs extra-médicaux qui ne relevaient pas de l'assurance-invalidité. Elle en a déduit que le refus de prestations était justifié en l'occurrence.</w:t>
      </w:r>
    </w:p>
    <w:p>
      <w:r>
        <w:rPr>
          <w:b/>
        </w:rPr>
        <w:t>E. 2.2</w:t>
      </w:r>
    </w:p>
    <w:p>
      <w:r>
        <w:t>La recourante reproche à la juridiction cantonale d'avoir procédé à une constatation manifestement inexacte des faits pertinents reposant sur une interprétation subjective et orientée des éléments figurant au dossier et, partant, d'avoir violé le droit fédéral. En substance, elle lui fait grief de n'avoir pas retenu qu'elle présentait une atteinte médicale objectivable et susceptible de lui occasionner une incapacité de travail durable.</w:t>
      </w:r>
    </w:p>
    <w:p>
      <w:r>
        <w:rPr>
          <w:b/>
        </w:rPr>
        <w:t>E. 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3.2</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Si la jurisprudence a établi des directives sur l'appréciation de certaines formes de rapports ou d'expertises médicaux ( ATF 125 V 351 consid. 3b p. 352), elle n'a jamais entendu créer une hiérarchie rigide entre les différents moyens de preuve disponibles.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(arrêts 9C_607/2008 du 27 avril 2009 consid. 3.2 et 9C_773/2007 du 23 juin 2008 consid. 5.2).</w:t>
      </w:r>
    </w:p>
    <w:p>
      <w:r>
        <w:rPr>
          <w:b/>
        </w:rPr>
        <w:t>E. 4.1</w:t>
      </w:r>
    </w:p>
    <w:p>
      <w:r>
        <w:t>Selon la jurisprudence, les facteurs psychosociaux ou socioculturels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 ATF 127 V 294 consid. 5a p. 299).</w:t>
      </w:r>
    </w:p>
    <w:p>
      <w:r>
        <w:rPr>
          <w:b/>
        </w:rPr>
        <w:t>E. 4.2</w:t>
      </w:r>
    </w:p>
    <w:p>
      <w:r>
        <w:t>Il est vrai que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2e phrase, LPGA ( ATF 140 V 193 consid. 3.3 p. 197 et les références; voir également arrêts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w:t>
      </w:r>
    </w:p>
    <w:p>
      <w:r>
        <w:rPr>
          <w:b/>
        </w:rPr>
        <w:t>E. 5</w:t>
      </w:r>
    </w:p>
    <w:p>
      <w:r>
        <w:t>Sur le plan assécurologique, le cas d'espèce présente une certaine complexité, dans la mesure où il existe chez la recourante une intrication de problèmes de nature psychique et de problèmes qui ont pour origine le contexte socioéconomique dans lequel elle évolue.</w:t>
      </w:r>
    </w:p>
    <w:p>
      <w:r>
        <w:rPr>
          <w:b/>
        </w:rPr>
        <w:t>E. 5.1</w:t>
      </w:r>
    </w:p>
    <w:p>
      <w:r>
        <w:t>Il n'est pas contestable qu'un contexte socioéconomique défavorable constitue un terrain favorable à la survenance et à la persistance de troubles de la lignée dépressive. Exclure le caractère invalidant de tels troubles au seul motif de l'existence dans l'anamnèse de facteurs psychosociaux ou socioculturels revient en définitive à établir le droit aux prestations non pas au regard de la gravité objective de l'atteinte à la santé et de ses effets sur la capacité de travail et de gain, mais uniquement sur la base de critères anamnestiques. Lorsque des facteurs psychosociaux ou socioculturels sont au premier plan dans l'anamnèse, la jurisprudence a au contraire souligné toute l'importance que revêtait l'évaluation médicale pour apprécier la situation (cf.</w:t>
      </w:r>
    </w:p>
    <w:p>
      <w:r>
        <w:t>supra consid. 4).</w:t>
      </w:r>
    </w:p>
    <w:p>
      <w:r>
        <w:rPr>
          <w:b/>
        </w:rPr>
        <w:t>E. 5.2</w:t>
      </w:r>
    </w:p>
    <w:p>
      <w:r>
        <w:t>La lecture du jugement attaqué laisse apparaître que la juridiction cantonale a avant tout porté son attention sur les facteurs socioéconomiques imprégnant l'anamnèse plutôt que de procéder à une appréciation consciencieuse des différents points de vue médicaux versés à la procédure. Ainsi que le relève la recourante tout au long de son recours, l'examen auquel a procédé la juridiction cantonale a mis en arrière-plan la problématique médicale. Ainsi, plusieurs documents de nature médicale susceptibles d'appuyer le point de vue de la recourante ont été passés sous silence (tels que le rapport complémentaire du docteur F.________ du 13 octobre 2014 ou les prises de position du Service médical régional de l'assurance-invalidité des 27 juin 2013 et 27 janvier 2014). De même, le jugement attaqué ne fait nulle mention du fait que la recourante bénéficie de soins psychiatriques à domicile depuis le mois de janvier 2013. Les diagnostics posés par les docteurs D.________ et F.________ ainsi que par le Centre de soins hospitaliers E.________ (trouble dépressif récurrent, épisode moyen à sévère; personnalité émotionnellement labile de type borderline), de même que les conclusions prises sur la capacité de travail, n'ont pas été intégrés à la discussion. Tout au plus la juridiction cantonale s'est-elle autorisée à relativiser les observations de la doctoresse D.________ ("la recourante montrerait toutefois plus des signes d'anxiété que de véritables signes d'une maladie grave, ceci dans un contexte de victimisation et de dramatisation"), alors même qu'il n'appartient pas au juge de se livrer à des conjectures qui relèvent strictement de la science médicale (voir arrêt 9C_573/2009 du 16 décembre 2009 consid. 2.3).</w:t>
      </w:r>
    </w:p>
    <w:p>
      <w:r>
        <w:rPr>
          <w:b/>
        </w:rPr>
        <w:t>E. 5.3</w:t>
      </w:r>
    </w:p>
    <w:p>
      <w:r>
        <w:t>De manière implicite, la juridiction cantonale a accordé une pleine valeur probante à l'expertise du docteur B.________, en considérant que l'avis du docteur F.________ ne constituait qu'une nouvelle appréciation d'une situation demeurée inchangée par rapport à celle qui prévalait à l'époque de l'examen de la première demande de prestations. Nonobstant le constat du docteur F.________, selon lequel la recourante présentait une incapacité de travail (totale ou partielle) liée à ses troubles psychiques depuis le mois de juin 2008, il convient de souligner que la recourante a été en mesure d'exercer une activité à plein temps de vendeuse en boucherie de juin 2010 à septembre 2011, de sorte que l'on ne saurait parler d'une situation médicale demeurée inchangée. S'agissant de la situation de la recourante à la suite de l'interruption de son activité lucrative au mois de septembre 2011, les points de vue des docteurs B.________ et F.________ divergent non seulement sur l'ampleur de la capacité de travail, mais également sur le diagnostic, singulièrement sur l'importance des troubles de la lignée dépressive présentés par la recourante, qualifiés de sévères par l'expert privé. Force est de relever que le docteur B.________ est le seul médecin a avoir retenu au cours de la procédure les diagnostics de syndrome douloureux somatoforme persistant et de trouble dissociatif (de conversion). Dans ces conditions, il appartenait à la juridiction cantonale, dans le cadre de la discussion de la présente affaire, d'expliquer sur la base de critères objectifs les raisons pour lesquelles elle estimait que l'avis - isolé - du docteur B.________ était plus convaincant que celui - unanime - du docteur F.________ et des autres médecins qui s'étaient exprimés au cours de la procédure. Il était pour le moins arbitraire d'écarter le point de vue défendu - notamment - par le docteur F.________ au seul motif que ce médecin, en sa qualité de contre-expert privé, s'était nécessairement exprimé dans le sens de sa patiente et avait ainsi relayé ses plaintes les plus alarmantes. Compte tenu des avis médicaux divergents en présence, la juridiction cantonale ne pouvait faire l'économie d'une mesure d'instruction complémentaire avant de statuer.</w:t>
      </w:r>
    </w:p>
    <w:p>
      <w:r>
        <w:rPr>
          <w:b/>
        </w:rPr>
        <w:t>E. 5.4</w:t>
      </w:r>
    </w:p>
    <w:p>
      <w:r>
        <w:t>Le raisonnement tenu par la juridiction cantonale ne permet pas de se convaincre que la recourante ne présente aucune atteinte à la santé à l'origine d'une incapacité de travail. Par conséquent, il y a lieu d'annuler le jugement entrepris et de renvoyer la cause à la juridiction cantonale pour qu'elle rende une nouvelle décision, en complétant au préalable l'instruction au moyen d'une expertise psychiatrique.</w:t>
      </w:r>
    </w:p>
    <w:p>
      <w:r>
        <w:rPr>
          <w:b/>
        </w:rPr>
        <w:t>E. 6</w:t>
      </w:r>
    </w:p>
    <w:p>
      <w:r>
        <w:t>Au regard de l'issue du litige, la juridiction cantonale devra se prononcer à nouveau sur la demande d'assistance judiciaire présentée devant elle par la recourante.</w:t>
      </w:r>
    </w:p>
    <w:p>
      <w:r>
        <w:rPr>
          <w:b/>
        </w:rPr>
        <w:t>E. 7</w:t>
      </w:r>
    </w:p>
    <w:p>
      <w:r>
        <w:t>Vu l'issue du litige, les frais et les dépens de la procédure fédérale doivent être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