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9C_559/2017 vom 17. Oktober 2017</w:t>
      </w:r>
    </w:p>
    <w:p>
      <w:r>
        <w:t>Bundesgericht, 2017-10-17, DE</w:t>
      </w:r>
    </w:p>
    <w:p>
      <w:r>
        <w:rPr>
          <w:b/>
        </w:rPr>
        <w:t xml:space="preserve">Quelle: </w:t>
      </w:r>
      <w:r>
        <w:t>https://mcp.opencaselaw.ch/entscheid/bger_9C_559_2017</w:t>
      </w:r>
    </w:p>
    <w:p>
      <w:r>
        <w:t>FR: TF 9C_559/2017 du 17 octobre 2017</w:t>
      </w:r>
    </w:p>
    <w:p>
      <w:r>
        <w:t>IT: TF 9C_559/2017 del 17 ottobre 2017</w:t>
      </w:r>
    </w:p>
    <w:p>
      <w:pPr>
        <w:pStyle w:val="Heading2"/>
      </w:pPr>
      <w:r>
        <w:t>Erwägungen</w:t>
      </w:r>
    </w:p>
    <w:p>
      <w:r>
        <w:rPr>
          <w:b/>
        </w:rPr>
        <w:t>E. 1</w:t>
      </w:r>
    </w:p>
    <w:p>
      <w:r>
        <w:t>Die Vorinstanz hat zutreffend festgestellt, dass die von Juni 2013 bis Oktober 2014 bezogene Viertelsrente im Sinne von Art. 25 Abs. 1 erster Satz ATSG (SR 830.1) zu Unrecht ausgerichtet wurde, weil dem Versicherten - wie sich im Nachhinein aufgrund der erwähnten Urteile von kantonalem und Bundesgericht ergab - von Beginn weg keine Invalidenrente zustand. Soweit der Beschwerdegegner geltend macht, eine rückwirkende Leistungsanpassung wegen IV-spezifischer Gesichtspunkte setze eine Meldepflichtverletzung voraus, übersieht er, dass die diesbezüglich einschlägigen Art. 85 Abs. 2 und Art. 88bis Abs. 2 lit. b IVV (SR 831.201) ausschliesslich auf rechtskräftig verfügte Leistungen anwendbar sind. Die Frage nach der Gutgläubigkeit des Beschwerdegegners beim Rentenbezug wäre erst im Falle eines Erlassgesuchs relevant (Art. 25 Abs. 1 zweiter Satz ATSG). Hingegen ist im Folgenden zu prüfen, ob die Vorinstanz die Rückerstattungsforderung zu Recht als verwirkt erachtete.</w:t>
      </w:r>
    </w:p>
    <w:p>
      <w:r>
        <w:rPr>
          <w:b/>
        </w:rPr>
        <w:t>E. 2</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140 V 521 E. 2.1 S. 525 mit Hinweisen).</w:t>
      </w:r>
    </w:p>
    <w:p>
      <w:r>
        <w:t>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 BGE 140 V 521 E. 2.1 S. 525 mit Hinweisen). Ergibt sich eine Rückforderung, weil das kantonale Versicherungsgericht im Beschwerdeverfahren eine reformatio in peius (vgl. Art. 61 lit. d ATSG ) zulasten der rentenbeziehenden Person vornimmt, beginnt die Verwirkungsfrist bei Eintritt der Rechtskraft dieses Gerichtsentscheids zu laufen (SVR 2015 IV Nr. 4 S. 8, 8C_316/2014 E. 2; Urteil 9C_714/2015 vom 29. April 2016 E. 5.4).</w:t>
      </w:r>
    </w:p>
    <w:p>
      <w:r>
        <w:rPr>
          <w:b/>
        </w:rPr>
        <w:t>E. 3</w:t>
      </w:r>
    </w:p>
    <w:p>
      <w:r>
        <w:t>Nach der unmittelbar hievor zitierten Rechtsprechung fällt der Beginn der Verwirkungsfrist auf das Datum des bundesgerichtlichen Urteils vom 30. Dezember 2015, mit welchem die Beschwerde gegen die vorinstanzliche Verneinung jeglichen Rentenanspruchs abgewiesen wurde. Zuvor wusste die IV-Stelle lediglich, gegen wen sich eine allfällige Rückforderung richten und in welchem Betrag sie gestellt würde. Noch keine definitive Gewissheit hatte sie hingegen bezüglich der Rückerstattungspflicht als solcher. Wie die hier beschwerdeführende IV-Stelle zutreffend geltend macht, war der Ausgang des seinerzeitigen letztinstanzlichen Verfahrens bis zur Urteilsfällung offen. Nach dem Gesagten erging die streitige Rückforderungsverfügung vom 19. April 2016 innerhalb der einjährigen Verwirkungsfrist. Auf die vom Beschwerdegegner geltend gemachte, aber nicht begründete Verletzung des Vertrauensschutzes ist nicht einzugehen.</w:t>
      </w:r>
    </w:p>
    <w:p>
      <w:r>
        <w:t>Die Beschwerde der IV-Stelle ist begründet.</w:t>
      </w:r>
    </w:p>
    <w:p>
      <w:r>
        <w:rPr>
          <w:b/>
        </w:rPr>
        <w:t>E. 4</w:t>
      </w:r>
    </w:p>
    <w:p>
      <w:r>
        <w:t>Die Gerichtskosten werden dem Beschwerdegegner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