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9C_559/2009 vom 18. Dezember 2009</w:t>
      </w:r>
    </w:p>
    <w:p>
      <w:r>
        <w:t>Bundesgericht, 2009-12-18, DE</w:t>
      </w:r>
    </w:p>
    <w:p>
      <w:r>
        <w:rPr>
          <w:b/>
        </w:rPr>
        <w:t xml:space="preserve">Quelle: </w:t>
      </w:r>
      <w:r>
        <w:t>https://mcp.opencaselaw.ch/entscheid/bger_9C_559_2009</w:t>
      </w:r>
    </w:p>
    <w:p>
      <w:r>
        <w:t>FR: TF 9C_559/2009 du 18 décembre 2009</w:t>
      </w:r>
    </w:p>
    <w:p>
      <w:r>
        <w:t>IT: TF 9C_559/2009 del 18 dicembre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gesetzliche Kognitionsbeschränkung in tatsächlicher Hinsicht gilt namentlich für die Einschätzung der gesundheitlichen und leistungsmässigen Verhältnisse ( Art. 6 ATSG ). Im Rahmen der Invaliditätsbemessung - insbesondere bei der Ermittlung von Gesundheitsschaden sowie Arbeitsfähigkeit und Zumutbarkeitsprofil - sind zur Abgrenzung der (für das Bundesgericht grundsätzlich verbindlichen) Tatsachenfeststellungen vom (letztinstanzlich frei überprüfbaren) Rechtsanwendungsakt der Vorinstanz weiterhin die kognitionsrechtlichen Grundsätze heranzuziehen, wie sie in BGE 132 V 393 E. 3 S. 397 ff. entwickelt wurden (vgl. ferner Urteil 8C_652/2008 vom 8. Mai 2009 E. 4).</w:t>
      </w:r>
    </w:p>
    <w:p>
      <w:r>
        <w:rPr>
          <w:b/>
        </w:rPr>
        <w:t>E. 2</w:t>
      </w:r>
    </w:p>
    <w:p>
      <w:r>
        <w:t>Streitig ist der Anspruch auf eine Invalidenrente. Das kantonale Gericht hat die für die Beurteilung einschlägigen rechtlichen Grundlagen zutreffend dargelegt. Dies betrifft insbesondere auch die massgeblichen Bestimmungen und Grundsätze zur Beurteilung der Statusfrage und damit zur anwendbaren Invaliditätsbemessungsmethode (bei teilerwerbstätigen Versicherten nach der gemischten Methode; früher aArt. 28 Abs. 2ter IVG in Verbindung mit Art. 27bis IVV , seit 1. Januar 2008 Art. 28a Abs. 3 IVG ; BGE 133 V 477 E. 6.3 S. 486 f. mit Hinweisen, 504 E. 3.3 S. 507 f.; 130 V 393 E. 3.3 S. 395 f.; 125 V 146 E. 2c S. 150 mit Hinweisen; vgl. auch Urteil 9C_49/2008 vom 28. Juli 2008 E. 3.1-3.4) sowie zum Beweiswert eines Berichts über die Abklärung im Haushalt (Urteile I 90/02 vom 30. Dezember 2002 E. 2.3.2, nicht publiziert in: BGE 129 V 67 , aber in: AHI 2003 S. 215, I 236/06 vom 19. Juni 2006 E. 3.2 und I 733/03 vom 6. April 2004 E. 5.1.2).</w:t>
      </w:r>
    </w:p>
    <w:p>
      <w:r>
        <w:rPr>
          <w:b/>
        </w:rPr>
        <w:t>E. 3</w:t>
      </w:r>
    </w:p>
    <w:p>
      <w:r>
        <w:t>Die unter den Verfahrensbeteiligten umstrittene Frage, in welchem Ausmass die Beschwerdeführerin ohne gesundheitliche Beeinträchtigung erwerbstätig wäre, ist nach der Rechtsprechung mit Rücksicht auf die gesamten Umstände, so die persönlichen, familiären, sozialen und erwerblichen Verhältnisse, zu beantworten (in BGE 130 V 396 nicht publizierte E. 3.3, 125 V 146 E. 2c S. 150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440 E. 5b S. 448; Urteil 4C.213/1990 vom 21. Mai 1991 E. 3b). Ebenso sind Feststellungen über innere oder psychische Tatsachen Tatfragen, wie beispielsweise was jemand wollte oder wusste ( BGE 130 IV 58 E. 8.5 S. 62; 125 III 435 E. 2a/aa S. 436; 124 III 182 E. 3 S. 184; Fabienne Hohl, Procédure civile, Band II, Bern 2002, S. 295 Rz. 3219). Rechtsfragen sind hingegen Folgerungen, die ausschliesslich - losgelöst vom konkreten Sachverhalt - auf die allgemeine Lebenserfahrung gestützt werden ( BGE 132 V 393 E. 3.3 S. 399; Urteil 4C.213/1990 vom 21. Mai 1991 E. 3b; Peter Münch in: Geiser/ Münch [Hrsg.], Prozessieren vor Bundesgericht, 2. Aufl., Basel 1998, S. 135 Rz. 4.43; Hohl, a.a.O., S. 297 Rz. 3227), oder die Frage, ob aus festgestellten Indizien mit Recht auf bestimmte Rechtsfolgen geschlossen worden ist (z.B. auf Rechtsmissbrauch, vgl. Urteil 2A.545/1999 vom 31. Januar 2000 E. 2b).</w:t>
      </w:r>
    </w:p>
    <w:p>
      <w:r>
        <w:rPr>
          <w:b/>
        </w:rPr>
        <w:t>E. 4</w:t>
      </w:r>
    </w:p>
    <w:p>
      <w:r>
        <w:t>Die Beschwerdeführerin war trotz Geburt dreier Kinder über Jahre vollerwerbstätig; sie hat auch angegeben, dass sie ohne gesundheitliche Behinderung einer vollen ausserhäuslichen Erwerbstätigkeit nachgehen würde (IV-Fragebogen betreffend Erwerbstätigkeit/Haushalt, unterzeichnet am 16. August 2007); beschwerdeweise macht sie wiederum geltend, sie habe ihr gesamtes Berufsleben auf einen Vollzeiterwerb ausgerichtet und würde dies ohne gesundheitliche Probleme auch so halten. Diesem Umstand haben Verwaltung und Vorinstanz nicht die erforderliche Beachtung geschenkt. Denn wenn vor Eintritt des (teil-)invalidisierenden Gesundheitsschadens eine mehrjährige volle Erwerbstätigkeit ausgeübt worden ist, braucht es überzeugende greifbare Anhaltspunkte, damit neu der Schluss gezogen werden kann, dass der Beschäftigungsgrad auch ohne gesundheitliche Probleme reduziert worden wäre. Diesem zur Beurteilung der Statusfrage wesentlichen und darum rechtlich bedeutsamen Gesichtspunkt ist bei der Beweiswürdigung nicht ausreichend Rechnung getragen worden. Denn lediglich darauf hinzuweisen, dass ein volles Pensum nicht zu vereinbaren sei mit der Haushalts- und Betreuungsarbeit, reicht zur hypothetischen Annahme einer Teilzeitbeschäftigung nicht aus. Aus den Akten geht hervor, dass solche Arbeiten von der Mutter der Beschwerdeführerin (und zeitweise auch einer Au-Pair-Hilfe) übernommen wurden und der mittlerweile von der Beschwerdeführerin geschiedene Vater der Kinder weiterhin Betreuungsaufgaben wahrnimmt. Überdies wohnt ihre Schwester im gleichen Haus. Die Beschwerdeführerin bringt mit Recht vor, dass das vorinstanzliche Argument, es sei unwahrscheinlich, dass sie nach lediglich fünf Jahren Vollzeittätigkeit "für den Rest ihrer beruflichen Laufbahn" hätte vollerwerbstätig sein wollen, nicht nur fragwürdig ist, sondern für die Beantwortung der Statusfrage im massgebenden Zeitraum gar nicht relevant. Mit Rücksicht auf das sich aufgrund der Fakten und Indizien präsentierende Gesamtbild rechtfertigt sich in rechtlicher Hinsicht der Schluss (vgl. dazu oben E. 3), dass der Beschwerdeführerin der Status einer Vollerwerbstätigen zukommt. Damit ist der Invaliditätsgrad nach der Methode des Einkommensvergleichs festzusetzen.</w:t>
      </w:r>
    </w:p>
    <w:p>
      <w:r>
        <w:rPr>
          <w:b/>
        </w:rPr>
        <w:t>E. 5.1</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 BGE 129 V 222 E. 4.1 S. 223). Das kantonale Gericht hat den erwähnten Zeitpunkt gestützt auf die Angaben der behandelnden Ärztin Dr. med. R.________, FMH Psychiatrie und Psychotherapie, zutreffend auf den 1. April 2003 festgelegt (Arztbericht vom 1. Dezember 2003; aArt. 29 Abs. 1 lit. b und 2 IVG in der bis 31. Dezember 2007 gültigen Fassung).</w:t>
      </w:r>
    </w:p>
    <w:p>
      <w:r>
        <w:rPr>
          <w:b/>
        </w:rPr>
        <w:t>E. 5.2</w:t>
      </w:r>
    </w:p>
    <w:p>
      <w:r>
        <w:t>Wie die Vorinstanz korrekt erwogen hat, ist das von der Beschwerdeführerin vor Eintritt des Gesundheitsschadens erzielte Erwerbseinkommen als Valideneinkommen zu berücksichtigen ( BGE 126 V 75 E. 3a S. 76). Für die Bestimmung des Invalideneinkommens ist von der beruflich-erwerblichen Situation auszugehen, in welcher die Versicherte konkret steht, weil sie (auch) nach Eintritt der Invalidität eine Erwerbstätigkeit ausübt, bei der besonders stabile Arbeitsverhältnisse gegeben sind (Anstellung seit 1997), bei der sie die ihr verbleibende Arbeitsfähigkeit in zumutbarer Weise voll ausschöpft und zudem das Einkommen der Arbeitsleistung angemessen ist; darum ist hier der tatsächlich erzielte Verdienst als Invalidenlohn zu berücksichtigen (siehe auch BGE 126 V 75 E. 3b/aa S. 76 mit Hinweisen).</w:t>
      </w:r>
    </w:p>
    <w:p>
      <w:r>
        <w:rPr>
          <w:b/>
        </w:rPr>
        <w:t>E. 5.3</w:t>
      </w:r>
    </w:p>
    <w:p>
      <w:r>
        <w:t>Der Anspruch auf eine halbe Rente ist bei den faktischen Gegebenheiten ausgewiesen: Die Beschwerdeführerin hat in der angestammten Tätigkeit zwar aus Krankheitsgründen unbestrittenermassen die Halbierung ihres Pensums in Kauf zu nehmen, bezieht aber den Lohn - entsprechend reduziert - in der angestammten Höhe. Von weiteren Abklärungen zu dem in den Akten nicht belegten massgebenden Vergleichseinkommen des Jahres 2003 ist darum abzusehen. Der Rentenanspruch ist ein Jahr nach Eintritt des Gesundheitsschadens entstanden, mithin im April 2003.</w:t>
      </w:r>
    </w:p>
    <w:p>
      <w:r>
        <w:rPr>
          <w:b/>
        </w:rPr>
        <w:t>E. 6</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