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9C_557/2013 vom 7. Januar 2014</w:t>
      </w:r>
    </w:p>
    <w:p>
      <w:r>
        <w:t>Bundesgericht, 2014-01-07, DE</w:t>
      </w:r>
    </w:p>
    <w:p>
      <w:r>
        <w:rPr>
          <w:b/>
        </w:rPr>
        <w:t xml:space="preserve">Quelle: </w:t>
      </w:r>
      <w:r>
        <w:t>https://mcp.opencaselaw.ch/entscheid/bger_9C_557_2013</w:t>
      </w:r>
    </w:p>
    <w:p>
      <w:r>
        <w:t>FR: TF 9C_557/2013 du 7 janvier 2014</w:t>
      </w:r>
    </w:p>
    <w:p>
      <w:r>
        <w:t>IT: TF 9C_557/2013 del 7 gennaio 2014</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3.1</w:t>
      </w:r>
    </w:p>
    <w:p>
      <w:r>
        <w:t>Die Beschwerdegegnerin hat in ihrer Anmeldung für eine Hinterlassenenrente auf die Frage nach den "Staatsangehörigkeit (en) " für sich wie auch für ihren verstorbenen Ehemann ausschliesslich "Kosovar" angegeben. Eine Doppelbürgerschaft wird weder behauptet noch ist eine solche aus den Akten ersichtlich.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verneint ( BGE 139 V 263 E. 12.2 S. 285).</w:t>
      </w:r>
    </w:p>
    <w:p>
      <w:r>
        <w:rPr>
          <w:b/>
        </w:rPr>
        <w:t>E. 3.2</w:t>
      </w:r>
    </w:p>
    <w:p>
      <w:r>
        <w:t>Was die zeitliche Geltung des Sozialversicherungsabkommens im Verhältnis zu Kosovo bis zum 31. März 2010 betrifft, ist für die Zusprache einer Hinterlassenenrente der Eintritt des Versicherungsfalles, das heisst vorliegend der Zeitpunkt des Todesfalls massgebend. Das Bundesgericht hat diese Handhabung, die mit dem auf den 1. Januar 2012 eingeführten Art. 18 Abs. 2</w:t>
      </w:r>
    </w:p>
    <w:p>
      <w:r>
        <w:t>bis AHVG (vgl. E. 2) eine definitive Klärung erfahren hat, mit Urteil 9C_53/2013 vom 6. August 2013 E. 3.3 bestätigt (vgl. auch Urteile 9C_27/2013 und 9C_317/2013 vom 22. August 2013 und 9C_278/2013 vom 3. September 2013).</w:t>
      </w:r>
    </w:p>
    <w:p>
      <w:r>
        <w:rPr>
          <w:b/>
        </w:rPr>
        <w:t>E. 3.3</w:t>
      </w:r>
    </w:p>
    <w:p>
      <w:r>
        <w:t>Der Versicherte verstarb am 27. August 2010, mithin in einem Zeitpunkt, in welchem das fragliche Sozialversicherungsabkommen im Verhältnis zu Kosovo nicht mehr anwendbar war. Da die Beschwerdegegnerin über keinen Wohnsitz in der Schweiz verfügte, hat sie damit keinen Anspruch auf eine Hinterlassenenrente. Die Rückvergütung der Beiträge bleibt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w:t>
      </w:r>
    </w:p>
    <w:p>
      <w:r>
        <w:rPr>
          <w:b/>
        </w:rPr>
        <w:t>E. 4</w:t>
      </w:r>
    </w:p>
    <w:p>
      <w:r>
        <w:t>Bei dieser Sach- und Rechtslage erweist sich die Beschwerde der SAK als begründet. Entsprechend gehen die Gerichtskosten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