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9C_556/2007 vom 29. April 2008</w:t>
      </w:r>
    </w:p>
    <w:p>
      <w:r>
        <w:t>Bundesgericht, 2008-04-29, FR</w:t>
      </w:r>
    </w:p>
    <w:p>
      <w:r>
        <w:rPr>
          <w:b/>
        </w:rPr>
        <w:t xml:space="preserve">Quelle: </w:t>
      </w:r>
      <w:r>
        <w:t>https://mcp.opencaselaw.ch/entscheid/bger_9C_556_2007</w:t>
      </w:r>
    </w:p>
    <w:p>
      <w:r>
        <w:t>FR: TF 9C_556/2007 du 29 avril 2008</w:t>
      </w:r>
    </w:p>
    <w:p>
      <w:r>
        <w:t>IT: TF 9C_556/2007 del 29 aprile 2008</w:t>
      </w:r>
    </w:p>
    <w:p>
      <w:pPr>
        <w:pStyle w:val="Heading2"/>
      </w:pPr>
      <w:r>
        <w:t>Erwägungen</w:t>
      </w:r>
    </w:p>
    <w:p>
      <w:r>
        <w:rPr>
          <w:b/>
        </w:rPr>
        <w:t>E. 1.1</w:t>
      </w:r>
    </w:p>
    <w:p>
      <w:r>
        <w:t>Aux termes de l' art. 95 let. a LTF , le recours en matière de droit public peut être formé pour violation du droit fédéral qui comprend les droits fondamentaux des citoyens (cf. art. 106 al. 2 in initio LTF). Les autres motifs énoncés à l'art. 95 let. b à e LTF n'entrent pas en considération en l'espèce. Le Tribunal fédéral applique le droit d'office ( art. 106 al. 1 LTF ) et n'est pas limité par les arguments du recourant ni par la motivation de l'autorité précédente ( ATF 130 III 136 consid. 1.4 p. 140). Eu égard à l'exigence de motivation prévue à l' art. 42 al. 2 LTF , il n'examine en principe que les griefs invoqués. Conformément à l' art. 106 al. 2 LTF , ce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A l'appui de son recours, le recourant produit un rapport médical du docteur N.________, spécialiste FMH ORL du 20 juin 2007. Il s'agit d'une preuve nouvelle au sens de l' art. 99 al. 1 LTF qui n'est pas recevable.</w:t>
      </w:r>
    </w:p>
    <w:p>
      <w:r>
        <w:rPr>
          <w:b/>
        </w:rPr>
        <w:t>E. 2</w:t>
      </w:r>
    </w:p>
    <w:p>
      <w:r>
        <w:t>Le litige porte sur le droit du recourant à une demi-rente d'invalidité au-delà du 30 avril 2005 (cf. art. 88bis al. 2 let. a RAI ), singulièrement sur le point de savoir si les pièces médicales produites permettaient de conclure à une amélioration de son état de santé justifiant la suppression de la rente servie depuis le 1er août 2004.</w:t>
      </w:r>
    </w:p>
    <w:p>
      <w:r>
        <w:rPr>
          <w:b/>
        </w:rPr>
        <w:t>E. 3</w:t>
      </w:r>
    </w:p>
    <w:p>
      <w:r>
        <w:t>Selon la jurisprudence, une décision par laquelle l'assurance-invalidité accorde une rente avec effet rétroactif et, en même temps, prévoit la réduction ou la suppression de cette rente, correspond à une décision de révision au sens de l' art. 17 LPGA ( ATF 125 V 413 consid. 2d p. 417 s. et les références; VSI 2001 p. 155 consid. 2 p. 157 [I 99/00]). Aux termes de cette disposition,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Le point de savoir si un tel changement s'est produit doit être tranché en comparant les faits tels qu'ils se présentaient au moment de la décision initiale de rente et les circonstances régnant à l'époque de la décision litigieuse ( ATF 130 V 351 consid. 3.5.2, 125 V 369 consid. 2 et la référence; voir également ATF 112 V 372 consid. 2b et 390 consid. 1b).</w:t>
      </w:r>
    </w:p>
    <w:p>
      <w:r>
        <w:rPr>
          <w:b/>
        </w:rPr>
        <w:t>E. 4.1</w:t>
      </w:r>
    </w:p>
    <w:p>
      <w:r>
        <w:t>Selon les premiers juges, le stage au COPAI a permis de mettre en évidence, en février 2005, une capacité de travail entière du recourant dans une activité adaptée respectant ses limitations. Dès lors qu'en dépit de deux crises, le recourant avait manqué seulement deux jours de travail durant son stage, on devait en déduire sinon une amélioration, à tout le moins une stabilisation de son état de santé. La juridiction a en outre constaté que selon le docteur E.________, le recourant pouvait travailler à plein temps dans une activité adaptée.</w:t>
      </w:r>
    </w:p>
    <w:p>
      <w:r>
        <w:t>Au vu de ces éléments, la juridiction cantonale a considéré que la capacité de travail du recourant était de 100 % dans une activité adaptée, avec une diminution de rendement de 10 % pour tenir compte des crises, de la fatigabilité et de l'état dépressif.</w:t>
      </w:r>
    </w:p>
    <w:p>
      <w:r>
        <w:rPr>
          <w:b/>
        </w:rPr>
        <w:t>E. 4.2</w:t>
      </w:r>
    </w:p>
    <w:p>
      <w:r>
        <w:t>Le recourant se plaint d'une appréciation arbitraire des preuves dans la mesure où il conteste toute valeur probante au rapport du stage COPAI sur lequel se sont fondés les premiers juges pour retenir une amélioration de son état de santé. En outre, le recourant invoque une violation de son droit d'être entendu en ce sens que malgré divers rapports de médecins et d'experts attestant une incapacité de travail de 50 %, la juridiction cantonale a rejeté son recours sans accomplir le moindre acte d'instruction ni entendre aucun témoin.</w:t>
      </w:r>
    </w:p>
    <w:p>
      <w:r>
        <w:rPr>
          <w:b/>
        </w:rPr>
        <w:t>E. 5.1</w:t>
      </w:r>
    </w:p>
    <w:p>
      <w:r>
        <w:t>La violation du droit d'être entendu (sur cette notion en relation avec l'administration de preuves, cf. notamment ATF 130 II 425 consid. 2.1 p. 429, 119 Ib 492 consid. 5b/bb p. 505 sv.) dans le sens invoqué par l'intéressé est une question qui n'a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5.2</w:t>
      </w:r>
    </w:p>
    <w:p>
      <w:r>
        <w:t>En l'espèce, le COPAI avait reçu le mandat de déterminer quelles étaient les activités compatibles avec l'atteinte à la santé du recourant, compte tenu d'une capacité de travail évaluée par le SMR à 50 % en octobre 2004 sur la base des pièce médicales au dossier. En mars 2005, à l'issue du stage, les responsables du COPAI ont confirmé la mise en valeur possible d'une telle capacité de travail dans diverses activités. Ils ont relevé cependant que les capacités d'adaptation et d'apprentissage du recourant étaient compatibles avec un emploi dans le circuit économique normal. Ils ont précisé également qu'ils n'avaient pas observé de "crise" limitant la réalisation des diverses tâches auxquelles le recourant avait été soumis, ce qui expliquait ses bons résultats. Le docteur E.________ a pour sa part constaté qu'il était difficile de tirer des conclusions du stage car la capacité de travail observée, laquelle était excellente, restait dépendante d'un environnement silencieux et de l'absence de crises. Il a néanmoins conclu à une capacité de travail entière sur le plan physique, quelle que soit l'activité envisagée dans un environnement silencieux.</w:t>
      </w:r>
    </w:p>
    <w:p>
      <w:r>
        <w:rPr>
          <w:b/>
        </w:rPr>
        <w:t>E. 5.3</w:t>
      </w:r>
    </w:p>
    <w:p>
      <w:r>
        <w:t>En retenant une capacité de travail totale dans une activité adaptée accompagnée toutefois d'une diminution de rendement de 10 % à partir du mois de février 2005, il n'apparaît pas que les premiers juges aient constaté une amélioration de la capacité de travail de manière manifestement inexacte ou procédé à une appréciation insoutenable des circonstances. Le recourant ne le démontre du reste pas. Quoi qu'il en dise, l'avis des médecins R.________ et I.________ n'y change rien. En effet, le docteur R.________ a rendu son rapport le 6 novembre 2002, soit à une période antérieure à celle qui est déterminante sous l'angle des faits pertinents. Quant à l'aggravation de la surdité à gauche dans les fréquences aiguës attestée par le docteur I.________ le 30 août 2004, elle a déjà été prise en compte puisqu'elle est à l'origine de l'allocation d'une demi-rente à l'assuré entre le 1er août 2004 et le 30 avril 2005, dont la suppression est actuellement litigieuse. Au regard des conclusions et des précisions apportées par les maîtres du stage sur la qualité et le travail effectif fournis par le recourant et compte tenu des difficultés relevées par de nombreux médecins pour déterminer de manière précise l'incidence de la pathologie du recourant sur sa capacité de travail, l'amélioration de celle-ci à partir de mars 2005 retenue par les premiers juges, comme par les médecins du SMR, ne procède pas d'une appréciation insoutenable de la situation médicale ou ne se révèle pas manifestement inexacte.</w:t>
      </w:r>
    </w:p>
    <w:p>
      <w:r>
        <w:t>L'autorité cantonale n'a ainsi pas violé le droit fédéral et les principes posés par la jurisprudence du Tribunal fédéral en retenant, sur la base d'une appréciation complète et dûment motivée de l'ensemble des éléments figurant au dossier, que le recourant disposait d'une capacité de travail de 100 % dans une activité adaptée, avec une diminution de rendement de 10 % depuis février 2005. Cette constatation de fait lie dès lors le Tribunal fédéral. Mal fondé, le recours doit en conséquence être rejeté.</w:t>
      </w:r>
    </w:p>
    <w:p>
      <w:r>
        <w:rPr>
          <w:b/>
        </w:rPr>
        <w:t>E. 6</w:t>
      </w:r>
    </w:p>
    <w:p>
      <w:r>
        <w:t>La procédure est onéreuse ( art. 62 LTF ). Le recourant, qui succombe, doit en supporter les frais ( art. 66 al. 1 LTF ). Il ne saurait en outre prétendre à une indemnité de dépens ( art. 68 al. 1 LTF ). Cependant, les conditions auxquelles l' art. 64 al. 1 LTF subordonne l'octroi de l'assistance judiciaire gratuite étant réalisées, celle-ci lui est accordée.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