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555/2013 vom 6. Januar 2014</w:t>
      </w:r>
    </w:p>
    <w:p>
      <w:r>
        <w:t>Bundesgericht, 2014-01-06, DE</w:t>
      </w:r>
    </w:p>
    <w:p>
      <w:r>
        <w:rPr>
          <w:b/>
        </w:rPr>
        <w:t xml:space="preserve">Quelle: </w:t>
      </w:r>
      <w:r>
        <w:t>https://mcp.opencaselaw.ch/entscheid/bger_9C_555_2013</w:t>
      </w:r>
    </w:p>
    <w:p>
      <w:r>
        <w:t>FR: TF 9C 555/2013 du 6 janvier 2014</w:t>
      </w:r>
    </w:p>
    <w:p>
      <w:r>
        <w:t>IT: TF 9C 555/2013 del 6 gennaio 2014</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 Bei Personen, die mehrere sich ablösende Staatsangehörigkeiten besessen haben, ist für die Rentenberechtigung die Staatsangehörigkeit während des Rentenbezugs massgebend. Diese Regelung ist in Art. 18 Abs. 2 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(kurz: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 Die bundesgerichtliche Rechtsprechung lässt sich ohne weiteres auf den hier zu beurteilenden Fall übertragen:</w:t>
      </w:r>
    </w:p>
    <w:p>
      <w:r>
        <w:rPr>
          <w:b/>
        </w:rPr>
        <w:t>E. 3.1</w:t>
      </w:r>
    </w:p>
    <w:p>
      <w:r>
        <w:t>Der Beschwerdegegner hat in seiner Anmeldung für eine Altersrente auf die Frage nach den "Staatsangehörigkeit (en) " ausschliesslich "Kosovar" angegeben. Seine kosovarische Staatsangehörigkeit geht zudem aus der der Anmeldung zur Altersrente beigelegten Heiratsurkunde vom 16. März 2012 sowie der gleichentags ausgestellten Geburtsurkunde hervor. Eine Doppelbürgerschaft liess der Beschwerdegegner ein einziges Mal in einem Schreiben eines früheren Vertreters unter Hinweis auf den Entscheid C-4828/2010 des Bundesverwaltungsgerichts vom 7. März 2011 geltend machen. Diese Behauptung hat er indes nie wiederholt, auch nicht im vorliegenden Verfahren, und zudem nie belegt. Ohnehin ist der Verweis auf eine unbelegte Doppelbürgerschaft im Zusammenhang mit dem erwähnten Entscheid des Bundesverwaltungsgerichts unerheblich, weil das Bundesgericht den dort vertretenen Automatismus oder den Grundsatz, dass Personen aus dem Kosovo neben der Staatsangehörigkeit des Kosovos auch die serbische Staatsangehörigkeit besitzen, verworfen hat ( BGE 139 V 263 E. 12.2 S. 285).</w:t>
      </w:r>
    </w:p>
    <w:p>
      <w:r>
        <w:rPr>
          <w:b/>
        </w:rPr>
        <w:t>E. 3.2</w:t>
      </w:r>
    </w:p>
    <w:p>
      <w:r>
        <w:t>Was die zeitliche Geltung des Sozialversicherungsabkommens im Verhältnis zu Kosovo bis zum 31. März 2010 betrifft, ist für die Zusprache einer Altersrente der Eintritt des Versicherungsfalles, also das Erreichen des Rentenalters (Geburtstag) massgebend. Das Bundesgericht hat diese Handhabung, die mit dem auf den 1. Januar 2012 eingeführten Art. 18 Abs. 2 bis AHVG (vgl. E. 2) eine definitive Klärung erfahren hat, mit Urteil 9C_53/2013 vom 6. August 2013 E. 3.3 bestätigt (vgl. auch Urteil 9C_278/2013 vom 3. September 2013 E. 5.2).</w:t>
      </w:r>
    </w:p>
    <w:p>
      <w:r>
        <w:rPr>
          <w:b/>
        </w:rPr>
        <w:t>E. 3.3</w:t>
      </w:r>
    </w:p>
    <w:p>
      <w:r>
        <w:t>Der Beschwerdegegner erreichte am 1. April 2012 das ordentliche Rentenalter von 65 Jahren ( Art. 21 Abs. 1 lit. a AHVG ), mithin in einem Zeitpunkt, in welchem das fragliche Sozialversicherungsabkommen im Verhältnis zu Kosovo nicht mehr anwendbar war. Demnach verfügt er über keinen Anspruch auf eine Altersrente und auch nicht auf eine - ehemals mögliche - Abfindung (vgl. Art. 7 lit. a des Sozialversicherungsabkommens). Die Rückvergütung der Beiträge ist vorbehalten.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w:t>
      </w:r>
    </w:p>
    <w:p>
      <w:r>
        <w:rPr>
          <w:b/>
        </w:rPr>
        <w:t>E. 4</w:t>
      </w:r>
    </w:p>
    <w:p>
      <w:r>
        <w:t>Bei dieser Sach- und Rechtslage ist die Beschwerde der SAK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