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9C_553/2022 vom 3. Januar 2024</w:t>
      </w:r>
    </w:p>
    <w:p>
      <w:r>
        <w:t>Bundesgericht, 2024-01-03, DE</w:t>
      </w:r>
    </w:p>
    <w:p>
      <w:r>
        <w:rPr>
          <w:b/>
        </w:rPr>
        <w:t xml:space="preserve">Quelle: </w:t>
      </w:r>
      <w:r>
        <w:t>https://mcp.opencaselaw.ch/entscheid/bger_9C_553_2022</w:t>
      </w:r>
    </w:p>
    <w:p>
      <w:r>
        <w:t>FR: TF 9C_553/2022 du 3 janvier 2024</w:t>
      </w:r>
    </w:p>
    <w:p>
      <w:r>
        <w:t>IT: TF 9C_553/2022 del 3 gennaio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als es die rentenaufhebende Verfügung der IV-Stelle bestätigte.</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Ändert sich der Invaliditätsgrad einer Rentenbezügerin oder eines Rentenbezügers erheblich, so wird in Anwendung von Art. 17 Abs. 1 ATSG die Rente von Amtes wegen oder auf Gesuch hin für die Zukunft entsprechend erhöht, herabgesetzt oder aufgehoben. 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147 V 161 E. 4.2 mit Hinweisen).</w:t>
      </w:r>
    </w:p>
    <w:p>
      <w:r>
        <w:rPr>
          <w:b/>
        </w:rPr>
        <w:t>E. 3.4</w:t>
      </w:r>
    </w:p>
    <w:p>
      <w:r>
        <w:t>Nach der Rechtsprechung kann ein früher nicht gezeigtes Verhalten unter Umständen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 8C_553/2021 vom 13. April 2023 E. 4.2.3 mit zahlreichen weiteren Hinweisen).</w:t>
      </w:r>
    </w:p>
    <w:p>
      <w:r>
        <w:rPr>
          <w:b/>
        </w:rPr>
        <w:t>E. 3.4.1</w:t>
      </w:r>
    </w:p>
    <w:p>
      <w:r>
        <w:t>Kognitionsrechtlich gilt Folgendes: Ob eine wesentliche Änderung der tatsächlichen Verhältnisse eingetreten ist, betrifft eine Tatfrage und kann damit vom Bundesgericht nur auf offensichtliche Unrichtigkeit und auf Rechtsverletzung im Sinne von Art. 95 BGG überprüft werden (vgl. erwähntes Urteil 8C_553/2021 vom 13. April 2023 E. 4.2.5). Frei überprüfbare Rechtsfrage ist demgegenüber, ob mit der Änderung der tatsächlichen Verhältnisse ein Revisionsgrund im Sinne von Art. 17 Abs. 1 ATSG vorliegt (vgl. Urteil 9C_42/2019 vom 16. August 2019 E. 5.1. und 5.2). Ebenfalls auf den Sachverhalt und damit auf eine Tatfrage bezieht sich die Feststellung, dass bei einer versicherten Person von Aggravation oder aggravatorischem Verhalten auszugehen ist. Hingegen gilt als Rechtsfrage und damit als grundsätzlich frei überprüfbar, ob die betreffenden ärztlichen Feststellungen im Einzelfall auf einen Ausschlussgrund folgern lassen (Urteile 8C_95/2019 vom 3. Juni 2019 E. 6.2; 9C_501/2018 vom 12. März 2019 E. 5.1 mit Hinweis).</w:t>
      </w:r>
    </w:p>
    <w:p>
      <w:r>
        <w:rPr>
          <w:b/>
        </w:rPr>
        <w:t>E. 4.1</w:t>
      </w:r>
    </w:p>
    <w:p>
      <w:r>
        <w:t>Das kantonale Gericht bejahte einen Revisionsgrund, da gestützt auf das Gutachten der estimed AG vom 26. September 2020 von einer bewusstseinsnahen Aggravation der Versicherten auszugehen sei. Vor dieser Begutachtung bestanden gemäss den verbindlichen Feststellungen der Vorinstanz keine Hinweise auf ein solches Verhalten. Durch die im Rahmen der estimed-Begutachtung neu gezeigten Aggravation habe ein Verhalten vorgelegen, dass sie im Zeitpunkt der letzten massgeblichen psychiatrischen Begutachtung durch Dr. med. B.________ noch nicht gezeigt habe. Dieser Experte habe zwar ein auffälliges Verhalten sowie mangelnde Kooperation der Versicherten beschrieben, jedoch ohne eine Aggravation festzustellen.</w:t>
      </w:r>
    </w:p>
    <w:p>
      <w:r>
        <w:t>Wie die Beschwerdeführerin zutreffend geltend macht, beruht die vorinstanzliche Feststellung, es hätten vor der Begutachtung durch die Experten der estimed AG im Jahre 2020 keine Hinweise auf aggravatorisches Verhalten der Versicherten vorgelegen, auf einer offensichtlich unvollständigen Würdigung der medizinischen Akten. Vor der letzten gerichtlichen Bestätigung des Rentenanspruchs beschrieben sowohl der Gerichtsgutachter Dr. med. B.________ als auch der psychiatrische Experte des ABI ein deutlich histrionisches Verhalten. Während Dr. med. B.________ dieses als Teil der psychiatrischen Erkrankung interpretiere, sprachen die Experten des ABI in ihrer Stellungnahme vom 7. April 2014 davon, dass die Versicherte massiv aggraviere. Daraus erschliesst sich, dass die Frage der Aggravation bereits bei der letzten Rentenbestätigung Gegenstand einer kontroversen Diskussion unter den beteiligten psychiatrischen Experten war. Damit kann nicht willkürfrei gesagt werden, das von den Experten der estimed AG wiederum als aggravatorisch interpretierte Verhalten der Versicherten sei neu gewesen. Vielmehr ist davon auszugehen, dass es sich bei dem Schluss des Experten der estimed AG auf eine Aggravation um eine vom Gerichtsgutachter abweichende (aber die Experten des ABI bestätigende) Würdigung eines im Wesentlichen gleich gebliebenen Verhaltens bzw. Sachverhaltes handelt.</w:t>
      </w:r>
    </w:p>
    <w:p>
      <w:r>
        <w:rPr>
          <w:b/>
        </w:rPr>
        <w:t>E. 4.2</w:t>
      </w:r>
    </w:p>
    <w:p>
      <w:r>
        <w:t>Eine andere erhebliche Änderung der tatsächlichen Verhältnisse ist vorliegend nicht ersichtlich, womit kein Revisionsgrund im Sinne von Art. 17 Abs. 1 ATSG besteht. Die Möglichkeit, die Rentenaufhebung mittels einer substituierten Begründung aufgrund einer Wiedererwägung im Sinne von Art. 53 Abs. 2 ATSG zu schützen ( BGE 125 V 368 E. 2; vgl. auch Urteil 9C_73/2023 vom 21. November 2023 E. 3.1 mit weiteren Hinweisen), besteht vorliegend bereits aus dem Grund nicht, weil die letzte Bestätigung der Rente Gegenstand einer materiellen richterlichen Beurteilung war (vgl. BGE 138 V 147 E. 2.1; Urteil 8C_736/2019 vom 21. Januar 2020 E. 5.2). Fehlt es demgemäss an einem Rückkommenstitel, so hat die Versicherte weiterhin Anspruch auf die Rente in bisheriger Höhe. Entsprechend ist die Beschwerde gutzuheissen und das kantonale Gerichtsurteil sowie die rentenaufhebende Verfügung der IV-Stelle sind ersatzlos aufzuheben.</w:t>
      </w:r>
    </w:p>
    <w:p>
      <w:r>
        <w:rPr>
          <w:b/>
        </w:rPr>
        <w:t>E. 5</w:t>
      </w:r>
    </w:p>
    <w:p>
      <w:r>
        <w:t>Dem Verfahrensausgang entsprechend sind die Gerichtskosten der Beschwerdegegnerin aufzuerlegen ( Art. 66 Abs. 1 BGG ). Diese hat der Beschwerdeführerin überdies eine Parteientschädigung auszurichten ( Art. 68 Abs. 1 BGG ). Die Sache ist zudem zur Neuverlegung der Kosten und der Parteientschädigung des vorangegangenen Verfahrens an das Versicherungsgericht des Kantons Solothurn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