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9C_552/2019 vom 25. September 2019</w:t>
      </w:r>
    </w:p>
    <w:p>
      <w:r>
        <w:t>Bundesgericht, 2019-09-25, DE</w:t>
      </w:r>
    </w:p>
    <w:p>
      <w:r>
        <w:rPr>
          <w:b/>
        </w:rPr>
        <w:t xml:space="preserve">Quelle: </w:t>
      </w:r>
      <w:r>
        <w:t>https://mcp.opencaselaw.ch/entscheid/bger_9C_552_2019</w:t>
      </w:r>
    </w:p>
    <w:p>
      <w:r>
        <w:t>FR: TF 9C_552/2019 du 25 septembre 2019</w:t>
      </w:r>
    </w:p>
    <w:p>
      <w:r>
        <w:t>IT: TF 9C_552/2019 del 25 settembre 2019</w:t>
      </w:r>
    </w:p>
    <w:p>
      <w:pPr>
        <w:pStyle w:val="Heading2"/>
      </w:pPr>
      <w:r>
        <w:t>Volltext</w:t>
      </w:r>
    </w:p>
    <w:p>
      <w:r>
        <w:t>Bundesgericht</w:t>
      </w:r>
    </w:p>
    <w:p>
      <w:r>
        <w:t>Tribunal fédéral</w:t>
      </w:r>
    </w:p>
    <w:p>
      <w:r>
        <w:t>Tribunale federale</w:t>
      </w:r>
    </w:p>
    <w:p>
      <w:r>
        <w:t>Tribunal federal</w:t>
      </w:r>
    </w:p>
    <w:p>
      <w:r>
        <w:t>9C_552/2019</w:t>
      </w:r>
    </w:p>
    <w:p>
      <w:r>
        <w:t>Urteil vom 25. September 2019</w:t>
      </w:r>
    </w:p>
    <w:p>
      <w:r>
        <w:t>II. sozialrechtliche Abteilung</w:t>
      </w:r>
    </w:p>
    <w:p>
      <w:r>
        <w:t>Besetzung</w:t>
      </w:r>
    </w:p>
    <w:p>
      <w:r>
        <w:t>Bundesrichterin Pfiffner, Präsidentin,</w:t>
      </w:r>
    </w:p>
    <w:p>
      <w:r>
        <w:t>Gerichtsschreiber Fessler.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2. Juli 2019 (AK.2018.00013).</w:t>
      </w:r>
    </w:p>
    <w:p>
      <w:r>
        <w:t>Nach Einsicht</w:t>
      </w:r>
    </w:p>
    <w:p>
      <w:r>
        <w:t>in die Beschwerde vom 2. September 2019 gegen den Entscheid des Sozialversicherungsgerichts des Kantons Zürich vom 2. Juli 2019,</w:t>
      </w:r>
    </w:p>
    <w:p>
      <w:r>
        <w:t>in Erwägung,</w:t>
      </w:r>
    </w:p>
    <w:p>
      <w:r>
        <w:t>dass die Beschwerde gemäss Art. 42 Abs. 1 und 2 BGG unter anderem die Begehren und deren Begründung zu enthalten hat, wobei in der Begründung in gedrängter Form darzulegen ist, inwiefern der angefochtene Akt Recht verletzt, was eine wenigstens kurze Auseinandersetzung mit den entscheidenden Erwägungen der Vorinstanz voraussetzt ( BGE 138 I 171 E. 1.4 S. 176; 134 II 244 E. 2.1 S. 245 f.),</w:t>
      </w:r>
    </w:p>
    <w:p>
      <w:r>
        <w:t>dass die Eingabe vom 2. September 2019 diesen inhaltlichen Mindestanforderungen nicht genügt, da den Ausführungen nicht entnommen werden kann, inwiefern die Sachverhaltsfeststellung der Vorinstanz im Sinne von Art. 97 Abs. 1 BGG unzutreffend und die darauf beruhenden Erwägungen rechtsfehlerhaft sein sollen, insbesondere Bundesrecht verletzen ( Art. 95 lit. a BGG ),</w:t>
      </w:r>
    </w:p>
    <w:p>
      <w:r>
        <w:t>dass insbesondere der Beschwerdeführer dem Vorwurf der Vorinstanz, die konkursite Firma habe nicht mehr rechtzeitig abbaubare Beitragsausstände auflaufen lassen, und den Lohnzahlungen sei während vielen Jahren Priorität vor der Beitragsentrichtung eingeräumt worden, was er sich verschuldensmässig anrechnen zu lassen habe, nichts entgegenzuhalten weiss,</w:t>
      </w:r>
    </w:p>
    <w:p>
      <w:r>
        <w:t>dass die offensichtlich nicht hinreichend begründete Beschwerde im vereinfachten Verfahren nach Art. 108 Abs. 1 lit. b und Abs. 3 BGG durch Nichteintreten zu erledigen ist,</w:t>
      </w:r>
    </w:p>
    <w:p>
      <w:r>
        <w:t>dass in Anwendung von Art. 66 Abs. 1 Satz 2 BGG auf die Erhebung von Gerichtskosten zu verzichten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25. September 2019</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