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9C_550/2022 vom 19. Dezember 2022</w:t>
      </w:r>
    </w:p>
    <w:p>
      <w:r>
        <w:t>Bundesgericht, 2022-12-19, DE</w:t>
      </w:r>
    </w:p>
    <w:p>
      <w:r>
        <w:rPr>
          <w:b/>
        </w:rPr>
        <w:t xml:space="preserve">Quelle: </w:t>
      </w:r>
      <w:r>
        <w:t>https://mcp.opencaselaw.ch/entscheid/bger_9C_550_2022</w:t>
      </w:r>
    </w:p>
    <w:p>
      <w:r>
        <w:t>FR: TF 9C_550/2022 du 19 décembre 2022</w:t>
      </w:r>
    </w:p>
    <w:p>
      <w:r>
        <w:t>IT: TF 9C_550/2022 del 19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9C_550/2022</w:t>
      </w:r>
    </w:p>
    <w:p>
      <w:r>
        <w:t>Urteil vom 19. Dezember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Verwaltungsgerichts des Kantons Bern vom 25. Oktober 2022 (200 22 605 IV).</w:t>
      </w:r>
    </w:p>
    <w:p>
      <w:r>
        <w:t>Nach Einsicht</w:t>
      </w:r>
    </w:p>
    <w:p>
      <w:r>
        <w:t>in die Beschwerde vom 28. November 2022 (Poststempel) gegen das Urteil des Verwaltungsgerichts des Kantons Bern vom 25. Oktober 2022, mit dem es auf eine Beschwerde der A.________ vom 7. Oktober 2022 nicht eingetreten ist,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eine Beschwerdeschrift, die sich bei Nichteintretensentscheiden lediglich mit der materiellen Seite des Falles auseinandersetzt, keine sachbezogene Begründung aufweist und damit keine rechtsgenügliche Beschwerde darstellt (vgl. BGE 123 V 335 ; 118 Ib 134 ; ARV 2002 Nr. 7 S. 61 E. 2),</w:t>
      </w:r>
    </w:p>
    <w:p>
      <w:r>
        <w:t>dass die Beschwerdeführerin das angefochtene Urteil zwar für "zu hinterfragen" hält, aber auch nicht ansatzweise darlegt, weshalb das kantonale Gericht auf ihre Eingabe vom 7. Oktober 2022 hätte eintreten sollen,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19. Dezember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