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9C_54/2023 vom 16. Februar 2023</w:t>
      </w:r>
    </w:p>
    <w:p>
      <w:r>
        <w:t>Bundesgericht, 2023-02-16, DE</w:t>
      </w:r>
    </w:p>
    <w:p>
      <w:r>
        <w:rPr>
          <w:b/>
        </w:rPr>
        <w:t xml:space="preserve">Quelle: </w:t>
      </w:r>
      <w:r>
        <w:t>https://mcp.opencaselaw.ch/entscheid/bger_9C_54_2023</w:t>
      </w:r>
    </w:p>
    <w:p>
      <w:r>
        <w:t>FR: TF 9C_54/2023 du 16 février 2023</w:t>
      </w:r>
    </w:p>
    <w:p>
      <w:r>
        <w:t>IT: TF 9C_54/2023 del 16 febbraio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9C_54/2023</w:t>
      </w:r>
    </w:p>
    <w:p>
      <w:r>
        <w:t>Urteil vom 16. Februar 2023</w:t>
      </w:r>
    </w:p>
    <w:p>
      <w:r>
        <w:t>III. öffentlich-rechtliche Abteilung</w:t>
      </w:r>
    </w:p>
    <w:p>
      <w:r>
        <w:t>Besetzung</w:t>
      </w:r>
    </w:p>
    <w:p>
      <w:r>
        <w:t>Bundesrichter Parrino, Präsident,</w:t>
      </w:r>
    </w:p>
    <w:p>
      <w:r>
        <w:t>Gerichtsschreiberin Rupf.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IV-Stelle des Kantons Zürich,</w:t>
      </w:r>
    </w:p>
    <w:p>
      <w:r>
        <w:t>Röntgenstrasse 17, 8005 Zürich,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das Urteil des Sozialversicherungsgerichts des Kantons Zürich</w:t>
      </w:r>
    </w:p>
    <w:p>
      <w:r>
        <w:t>vom 27. Oktober 2022 (IV.2022.00314).</w:t>
      </w:r>
    </w:p>
    <w:p>
      <w:r>
        <w:t>Nach Einsicht</w:t>
      </w:r>
    </w:p>
    <w:p>
      <w:r>
        <w:t>in die Eingabe vom 21. Januar 2023 gegen das Urteil des Sozialversicherungsgerichts des Kantons Zürich vom 27. Oktober 2022,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dabei konkret auf die für das Ergebnis des angefochtenen Entscheids massgeblichen Erwägungen der Vorinstanz einzugehen und im Einzelnen aufzuzeigen ist, worin eine Verletzung von Bundesrecht liegt ( BGE 140 III 86 E. 2; 134 V 53 E. 3.3),</w:t>
      </w:r>
    </w:p>
    <w:p>
      <w:r>
        <w:t>dass das kantonale Gericht die Rechtmässigkeit der IV-Verfügung vom 3. Mai 2022 bestätigte und damit auch den geltend gemachten Anspruch auf Arbeitsvermittlung verneinte (vgl. angefochtenes Urteil E. 4.4 und E. 5),</w:t>
      </w:r>
    </w:p>
    <w:p>
      <w:r>
        <w:t>dass der Beschwerdeführer nicht in nachvollziehbarer Weise darlegt, inwiefern die vorinstanzliche Sichtweise Bundesrecht verletzen sollte,</w:t>
      </w:r>
    </w:p>
    <w:p>
      <w:r>
        <w:t>dass die Beschwerde den inhaltlichen Mindestanforderungen an ein Rechtsmittel somit offensichtlich nicht genügt,</w:t>
      </w:r>
    </w:p>
    <w:p>
      <w:r>
        <w:t>dass deshalb im vereinfachten Verfahren nach Art. 108 Abs. 1 lit. b BGG auf die Beschwerde nicht einzutreten ist,</w:t>
      </w:r>
    </w:p>
    <w:p>
      <w:r>
        <w:t>dass in Anwendung von Art. 66 Abs. 1 Satz 2 BGG umständehalber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16. Februar 2023</w:t>
      </w:r>
    </w:p>
    <w:p>
      <w:r>
        <w:t>Im Namen der III. öffentlich-rechtlichen Abteilung</w:t>
      </w:r>
    </w:p>
    <w:p>
      <w:r>
        <w:t>des Schweizerischen Bundesgerichts</w:t>
      </w:r>
    </w:p>
    <w:p>
      <w:r>
        <w:t>Der Präsident: Parrino</w:t>
      </w:r>
    </w:p>
    <w:p>
      <w:r>
        <w:t>Die Gerichtsschreiberin: Rupf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