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9C_54/2020 vom 20. Mai 2020</w:t>
      </w:r>
    </w:p>
    <w:p>
      <w:r>
        <w:t>Bundesgericht, 2020-05-20, DE</w:t>
      </w:r>
    </w:p>
    <w:p>
      <w:r>
        <w:rPr>
          <w:b/>
        </w:rPr>
        <w:t xml:space="preserve">Quelle: </w:t>
      </w:r>
      <w:r>
        <w:t>https://mcp.opencaselaw.ch/entscheid/bger_9C_54_2020</w:t>
      </w:r>
    </w:p>
    <w:p>
      <w:r>
        <w:t>FR: TF 9C_54/2020 du 20 mai 2020</w:t>
      </w:r>
    </w:p>
    <w:p>
      <w:r>
        <w:t>IT: TF 9C_54/2020 del 20 maggio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3.1</w:t>
      </w:r>
    </w:p>
    <w:p>
      <w:r>
        <w:t>Das kantonale Gericht hat festgehalten, massgebender Vergleichszeitpunkt sei die rechtskräftige Verfügung vom 26. September 2013, mit welcher der Beschwerdeführerin eine Hilflosenentschädigung mittleren Grades zugesprochen worden sei. Es hat den RAD-Bericht von Dr. med. B.________, Fachärztin für Psychiatrie und Psychotherapie, vom 28. April 2017 als hinreichende Grundlage für die Beurteilung der in Frage stehenden Streitpunkte beurteilt, da dieser insgesamt ein nachvollziehbares Bild über die bei der Beschwerdeführerin vorliegenden psychischen Erkrankungen vermittle. Gestützt auf eine Verbesserung hinsichtlich der Suizidalität hat es einen Revisionsgrund nach Art. 17 ATSG bejaht und den Anspruch auf eine Hilflosenentschädigung neu beurteilt. Es hat den Bedarf an lebenspraktischer Begleitung im Sinne von Art. 38 Abs. 1 lit. a und b IVV (im Umfang von rund drei Stunden pro Woche) bejaht. Eine regelmässige und erhebliche Dritthilfe in den Lebensverrichtungen Verrichten der Notdurft, Körperpflege sowie An- und Auskleiden hat es dagegen verneint. Gestützt hierauf hat es auf den Anspruch auf eine Hilflosenentschädigung für eine leichte Hilflosigkeit geschlossen.</w:t>
      </w:r>
    </w:p>
    <w:p>
      <w:r>
        <w:rPr>
          <w:b/>
        </w:rPr>
        <w:t>E. 3.2</w:t>
      </w:r>
    </w:p>
    <w:p>
      <w:r>
        <w:t>Strittig und damit zu prüfen ist, ob das kantonale Gericht zu Recht einen Revisionsgrund angenommen und neu eine Hilflosigkeit leichten Grades bestätigt hat.</w:t>
      </w:r>
    </w:p>
    <w:p>
      <w:r>
        <w:rPr>
          <w:b/>
        </w:rPr>
        <w:t>E. 4</w:t>
      </w:r>
    </w:p>
    <w:p>
      <w:r>
        <w:t>Die Vorinstanz hat die entscheidwesentlichen Rechtsgrundlagen zum Anspruch auf eine Hilflosenentschädigung bei Hilflosigkeit mittelschweren oder leichten Grades, namentlich zu den massgebenden sechs alltäglichen Lebensverrichtungen (Aufstehen, Absitzen, Abliegen; An- und Auskleiden; Essen; Körperpflege; Verrichten der Notdurft; Fortbewegung und Kontaktaufnahme) und zur lebenspraktischen Begleitung ( Art. 9 ATSG ; Art. 42 bis 42ter IVG in Verbindung mit Art. 35 ff. IVV ; BGE 133 V 450 ), sowie zur Revision der Hilflosenentschädigung ( Art. 17 Abs. 2 ATSG ; BGE 137 V 424 E. 3.1 S. 428 mit Hinweis; 133 V 108 E. 5.4 S. 114 mit Hinweis; 112 V 371 E. 2b in fine S. 372 mit Hinweisen; vgl. ferner Art. 35 Abs. 2 Satz 1 in Verbindung mit Art. 87 bis 88bis IVV) zutreffend wiedergegeben. Gleiches gilt für die Grundlagen zur Beweiskraft von Arzt- und Abklärungsberichten ( BGE 140 V 543 E. 3.2.1 S. 546 f. mit Hinweisen; 139 V 225 E. 5.2 S. 229 mit Hinweisen; 134 V 231 E. 5.1 S. 232 f. mit Hinweisen; 125 V 351 E. 3a S. 352 und E. 3b/ee S. 353 f., je mit Hinweis). Darauf wird verwiesen.</w:t>
      </w:r>
    </w:p>
    <w:p>
      <w:r>
        <w:rPr>
          <w:b/>
        </w:rPr>
        <w:t>E. 5.1</w:t>
      </w:r>
    </w:p>
    <w:p>
      <w:r>
        <w:t>Bei den gerichtlichen Feststellungen zum Gesundheitszustand und zur Arbeitsfähigkeit resp. deren Veränderung in einem bestimmten Zeitraum handelt es sich grundsätzlich um Tatfragen ( BGE 132 V 393 E. 3.2 S. 397 ff.). Gleiches gilt für die konkrete Beweiswürdigung.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Gleiches gilt für die Frage, ob mit dem veränderten Gesundheitszustand ein Revisionsgrund nach Art. 17 ATSG vorliegt.</w:t>
      </w:r>
    </w:p>
    <w:p>
      <w:r>
        <w:rPr>
          <w:b/>
        </w:rPr>
        <w:t>E. 5.2.1</w:t>
      </w:r>
    </w:p>
    <w:p>
      <w:r>
        <w:t>Wie die Beschwerdeführerin selbst darlegt, ist das kantonale Gericht Dr. med. B.________ hinsichtlich der beanstandeten Punkte nicht gefolgt. Inwiefern auf den versicherungsinternen Bericht insbesondere bezüglich der Befundaufnahme und der hieraus gezogenen Schlussfolgerungen zum Gesundheitszustand nicht hätte abgestellt werden dürfen, ist hingegen nicht ersichtlich. Die vorinstanzliche Beweiswürdigung ist demnach nicht in Frage zu stellen - der Verzicht auf weitere Abklärungen ist in zulässiger antizipierter Beweiswürdigung ( BGE 136 I 229 E. 5.3 S. 236; 124 V 90 E. 4b S. 94) und damit ohne Verletzung des Untersuchungsgrundsatzes erfolgt.</w:t>
      </w:r>
    </w:p>
    <w:p>
      <w:r>
        <w:rPr>
          <w:b/>
        </w:rPr>
        <w:t>E. 5.2.2</w:t>
      </w:r>
    </w:p>
    <w:p>
      <w:r>
        <w:t>Ob ein Revisionsgrund vorliegt, beurteilt sich (unter anderem) aufgrund einer Veränderung des Gesundheitszustandes. Diese muss geeignet sein, den Grad der Hilflosigkeit und damit den Umfang des Anspruchs auf Hilflosenentschädigung zu beeinflussen. Die konkrete Hilflosigkeit in einzelnen Bereichen betrifft dagegen die Folgen einer allfälligen Veränderung und ist als solche im Rahmen der Vorfrage nach einem Revisionsgrund unbeachtlich. Aus den diesbezüglichen Vorbringen kann die Beschwerdeführerin daher nichts zu ihren Gunsten ableiten.</w:t>
      </w:r>
    </w:p>
    <w:p>
      <w:r>
        <w:t>Die Verbesserung hinsichtlich der Suizidalität (vorinstanzliche Erwägung 5.5. S. 11; Dr. med. B.________ stellte eine nahezu vollständige Remission der depressiven Symptomatik fest) eignet sich durchaus, Auswirkungen auf den Hilfebedarf zu zeitigen. So kann insbesondere ein erhöhter Antrieb die Motivation zur selbständigen Vornahme einzelner Lebensverrichtungen steigern, sich aber auch positiv auf den Bedarf an persönlicher Überwachung und/oder lebenspraktischer Begleitung auswirken. Eine revisionsweise Prüfung ist daher zulässig.</w:t>
      </w:r>
    </w:p>
    <w:p>
      <w:r>
        <w:rPr>
          <w:b/>
        </w:rPr>
        <w:t>E. 6.1</w:t>
      </w:r>
    </w:p>
    <w:p>
      <w:r>
        <w:t>Die depressive Symptomatik, auf welche die Beschwerdeführerin im Zusammenhang mit dem Hilfebedarf in der Lebensverrichtung Körperpflege verweist, hat sich - wie dargelegt (E. 5.2) - eindeutig verbessert, hielt ja Dr. med. B.________ fest, die depressive Störung sei</w:t>
      </w:r>
    </w:p>
    <w:p>
      <w:r>
        <w:t>nahezu vollständig remittiert (Bericht S. 18); es gebe keine Hinweise darauf, dass die Beschwerdeführerin in ihrer Selbstfürsorge, der Fähigkeit, angemessen für die eigenen Bedürfnisse zu sorgen, wesentlich beeinträchtigt wäre (Bericht S. 19). Der Gesundheitszustand rechtfertigt es somit von vornherein nicht, in den Lebensverrichtungen wie Körperpflege und An- und Auskleiden eine Hilflosigkeit anzunehmen. Dass der Ehemann dennoch zufolge aktenmässig belegter Überbehütung dazu Hilfestellung leistet, vermag an der fehlenden medizinischen Indikation nichts zu ändern. Eine Verletzung von Bundesrecht liegt nicht vor. Eine Hilfsbedürftigkeit in den sechs Lebensverrichtungen liegt klarerweise auch sonst nicht mehr vor, wie sich aus dem Nachfolgenden ergibt.</w:t>
      </w:r>
    </w:p>
    <w:p>
      <w:r>
        <w:rPr>
          <w:b/>
        </w:rPr>
        <w:t>E. 6.2</w:t>
      </w:r>
    </w:p>
    <w:p>
      <w:r>
        <w:t>Die Hilfe ist regelmässig, wenn sie die versicherte Person täglich oder eventuell (nicht voraussehbar) täglich benötigt (Urteil 9C_562/2016 vom 13. Januar 2017 E. 5.3 mit Hinweisen). Es ist nicht ersichtlich, dass und inwiefern hinsichtlich des Verrichtens der Notduft die Voraussetzung der Regelmässigkeit erfüllt sein sollte. Sämtliche Vorbringen in der Beschwerde ändern daran nichts.</w:t>
      </w:r>
    </w:p>
    <w:p>
      <w:r>
        <w:rPr>
          <w:b/>
        </w:rPr>
        <w:t>E. 6.3</w:t>
      </w:r>
    </w:p>
    <w:p>
      <w:r>
        <w:t>Der angefochtene Entscheid verletzt weder das Gleichbehandlungsgebot noch das Diskriminierungsverbot. Weiterungen erübrigen sich.</w:t>
      </w:r>
    </w:p>
    <w:p>
      <w:r>
        <w:rPr>
          <w:b/>
        </w:rPr>
        <w:t>E. 7</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