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9C_54/2009 vom 13. März 2009</w:t>
      </w:r>
    </w:p>
    <w:p>
      <w:r>
        <w:t>Bundesgericht, 2009-03-13, FR</w:t>
      </w:r>
    </w:p>
    <w:p>
      <w:r>
        <w:rPr>
          <w:b/>
        </w:rPr>
        <w:t xml:space="preserve">Quelle: </w:t>
      </w:r>
      <w:r>
        <w:t>https://mcp.opencaselaw.ch/entscheid/bger_9C_54_2009</w:t>
      </w:r>
    </w:p>
    <w:p>
      <w:r>
        <w:t>FR: TF 9C_54/2009 du 13 mars 2009</w:t>
      </w:r>
    </w:p>
    <w:p>
      <w:r>
        <w:t>IT: TF 9C_54/2009 del 13 marzo 2009</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En ce qui concerne plus particulièrement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Dans la mesure cependant où il en va de l'évaluation de l'exigibilité d'une activité professionnelle au regard de l'expérience générale de la vie, il s'agit d'une question de droit qui peut être examinée librement en instance fédérale ( ATF 132 V 393 consid. 3.2 p. 398 et les arrêts cités).</w:t>
      </w:r>
    </w:p>
    <w:p>
      <w:r>
        <w:rPr>
          <w:b/>
        </w:rPr>
        <w:t>E. 1.3</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2</w:t>
      </w:r>
    </w:p>
    <w:p>
      <w:r>
        <w:t>Le jugement du 2 décembre 2008 expose correctement les règles légales et jurisprudentielles sur la notion d'invalidité et son évaluation, ainsi que les principes jurisprudentiels relatifs à la libre appréciation des preuves et à la valeur probante des rapports médicaux. Il suffit d'y renvoyer.</w:t>
      </w:r>
    </w:p>
    <w:p>
      <w:r>
        <w:rPr>
          <w:b/>
        </w:rPr>
        <w:t>E. 3</w:t>
      </w:r>
    </w:p>
    <w:p>
      <w:r>
        <w:t>Le litige porte sur le point de savoir si le tribunal administratif a violé le droit fédéral, sur la base du dossier dont il disposait, en niant un caractère invalidant aux affections psychiques dont souffre le recourant ( art. 8 LPGA , en relation avec les art. 4 et 28 al. 1 LAI , dans sa version en vigueur jusqu'au 31 décembre 2007; ATF 127 V 294 consid. 4c p. 298).</w:t>
      </w:r>
    </w:p>
    <w:p>
      <w:r>
        <w:t>Pour résoudre cette question, il s'agit de déterminer si les premiers juges ont établi les faits de manière manifestement inexacte ou en violation du droit ( art. 97 al. 1 LTF ). Plus particulièrement, il faut se demander s'ils pouvaient se fonder sur l'avis que les experts de l'assureur perte de gain avaient rendu deux ans avant le prononcé de la décision sur opposition (expertise S.________/C.________), quand bien même des divergences résultaient d'autres avis psychiatriques (docteurs O.________, M.________, I.________ et R.________).</w:t>
      </w:r>
    </w:p>
    <w:p>
      <w:r>
        <w:rPr>
          <w:b/>
        </w:rPr>
        <w:t>E. 3.1</w:t>
      </w:r>
    </w:p>
    <w:p>
      <w:r>
        <w:t>Le tribunal cantonal a examiné minutieusement le rapport d'expertise S.________/C.________ en tenant compte des objections soulevées à son encontre, avant de lui reconnaître force probante. Il a par ailleurs exposé les motifs qui l'ont conduit à ne pas suivre le point de vue du docteur O.________, bien qu'il fût postérieur à celui des prénommés, ainsi que les raisons pour lesquelles il a admis que les avis des médecins traitants (docteurs V.________, I.________ et M.________) ne justifiaient pas la reconnaissance d'une incapacité de travail liée à des affections psychiques. A l'issue de son appréciation des preuves, la juridiction cantonale s'est ralliée à l'opinion des experts S.________ et C.________, qui avaient admis que la capacité de travail du recourant était réduite au maximum de 20 % en raison de troubles psychiques.</w:t>
      </w:r>
    </w:p>
    <w:p>
      <w:r>
        <w:rPr>
          <w:b/>
        </w:rPr>
        <w:t>E. 3.2</w:t>
      </w:r>
    </w:p>
    <w:p>
      <w:r>
        <w:t>L'évaluation de la capacité de travail exigible, par la juridiction cantonale, constitue une question de fait qui lie le Tribunal fédéral (consid. 1.2 ci-dessus). A cet égard, le recourant méconnaît le fait que la fixation de la gravité d'un trouble dépressif et de son évolution est, par essence, toujours le fruit de l'exercice du pouvoir d'appréciation. C'est ainsi que le caractère fiable de constatations psychiatriques est notoirement très limité, en particulier lorsque les diagnostics portent sur des troubles dépressifs, somatoformes ou dissociatifs. Il s'ensuit que la mise en oeuvre d'une nouvelle expertise psychiatrique ne serait justifiée que dans l'éventualité où l'expertise du docteur O.________ devait contenir des éléments objectifs mettant en doute les conclusions des experts S.________ et C.________. Ce n'est pourtant pas le cas, à l'examen de la prise de position du SMR sur le rapport du docteur O.________. En effet, le rapport S.________/C.________ ne se fonde pas seulement sur des examens psychométriques - qui n'ont pour but que de compléter une expertise psychiatrique (cf. arrêt I 391/06 du Tribunal fédéral des assurances du 9 août 2006 consid. 3.2.2) - mais il procède également d'une analyse psychiatrique réalisée selon les règles de l'art. Le tribunal administratif n'a dès lors pas violé le droit fédéral, en particulier le principe de la libre appréciation des preuves ( art. 61 let . c LPGA), lorsqu'il a fixé le degré de l'incapacité de travail du recourant sur la base de l'expertise S.________/C.________.</w:t>
      </w:r>
    </w:p>
    <w:p>
      <w:r>
        <w:t>Par ailleurs, les considérations du recourant - qui reproche aux premiers juges de n'avoir pas suivi l'appréciation des docteurs V.________, I.________ et R.________ - ne sont pas de nature à remettre en cause le jugement entrepris, puisqu'elles ne tiennent pas compte de la jurisprudence relative à la différence entre un mandat de soins et un mandat d'expertise ( ATF 124 I 170 consid. 4 p. 175; arrêt I 514/06 du 25 mai 2007 consid. 2.2.1, in SVR 2008 IV n° 15 p. 43; arrêt 9C_326/2008 du 27 février 2009 consid. 2.1). De plus, elles ne mettent pas en évidence en quoi la juridiction cantonale aurait établi les faits de manière manifestement inexacte ou contraire au droit.</w:t>
      </w:r>
    </w:p>
    <w:p>
      <w:r>
        <w:rPr>
          <w:b/>
        </w:rPr>
        <w:t>E. 3.3</w:t>
      </w:r>
    </w:p>
    <w:p>
      <w:r>
        <w:t>On ajoutera que la décision sur opposition ne saurait être déclarée contraire au droit fédéral pour le seul fait que le degré de l'incapacité de travail se fonde sur un rapport d'expertise (S.________/C.________) qui avait été établi deux ans auparavant. Il en irait autrement si des éléments concrets permettaient d'admettre une aggravation de l'état de santé depuis le mois d'avril 2004. Pareille éventualité n'est toutefois pas réalisée, à la lecture du dossier; en particulier, une aggravation ne ressort pas des avis médicaux des médecins traitants qui attestent une incapacité totale de travail depuis le 13 janvier 2003.</w:t>
      </w:r>
    </w:p>
    <w:p>
      <w:r>
        <w:t>Une péjoration de l'état de santé ne ressort pas non plus du rapport d'expertise privée du docteur O.________, en particulier de la description du status psychique, du diagnostic et de la discussion du cas par l'expert. L'avis de ce dernier constitue uniquement une appréciation différente de la capacité de travail depuis le 13 janvier 2003, ce qui ne permet pas pour autant de dire que les conclusions de l'expertise S.________/C.________ sont manifestement erronées.</w:t>
      </w:r>
    </w:p>
    <w:p>
      <w:r>
        <w:rPr>
          <w:b/>
        </w:rPr>
        <w:t>E. 4</w:t>
      </w:r>
    </w:p>
    <w:p>
      <w:r>
        <w:t>Il s'ensuit que le jugement attaqué n'est pas contraire au droit fédéral.</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