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549/2013 vom 27. September 2013</w:t>
      </w:r>
    </w:p>
    <w:p>
      <w:r>
        <w:t>Bundesgericht, 2013-09-27, IT</w:t>
      </w:r>
    </w:p>
    <w:p>
      <w:r>
        <w:rPr>
          <w:b/>
        </w:rPr>
        <w:t xml:space="preserve">Quelle: </w:t>
      </w:r>
      <w:r>
        <w:t>https://mcp.opencaselaw.ch/entscheid/bger_9C_549_2013</w:t>
      </w:r>
    </w:p>
    <w:p>
      <w:r>
        <w:t>FR: TF 9C 549/2013 du 27 septembre 2013</w:t>
      </w:r>
    </w:p>
    <w:p>
      <w:r>
        <w:t>IT: TF 9C 549/2013 del 27 settembre 2013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 art. 109 LTF le corti del Tribunale federale giudicano nella composizione di tre giudici, con voto unanime, sulla reiezione di ricorsi manifestamente infondati (cpv. 2 lett. a). In tal caso la decisione è motivata sommariamente, potendosi rimandare in tutto o in parte alla decisione impugnata ( art. 109 cpv. 3 LTF ). È quanto accade in concreto.</w:t>
      </w:r>
    </w:p>
    <w:p>
      <w:r>
        <w:rPr>
          <w:b/>
        </w:rPr>
        <w:t>E. 2.1</w:t>
      </w:r>
    </w:p>
    <w:p>
      <w:r>
        <w:t>Nei considerandi del'impugnata pronuncia la Corte cantonale ha correttamente esposto le norme applicabili alla materia, rammentando in particolare come per l'art. 4 dell'ordinanza sulla consegna di mezzi ausiliari da parte dell'assicurazione per la vecchiaia (OMAV), i beneficiari di una rendita di vecchiaia domiciliati in Svizzera assegnatari di mezzi ausiliari o di sussidi per le spese ai sensi degli articoli 21 e 21bis LAI nel momento in cui nasce il diritto a una rendita AVS continuino ad averne diritto nella medesima misura fintanto che le condizioni determinanti sono adempite e salvo disposizioni contrarie della presente ordinanza. Per il resto, i combinati disposti dell' art. 2 cpv. 2 OMAV e della cifra 4.51 Allegato OMAV prevedono un contributo alle spese del 75% del prezzo netto per l'acquisto di scarpe ortopediche su misura.</w:t>
      </w:r>
    </w:p>
    <w:p>
      <w:r>
        <w:rPr>
          <w:b/>
        </w:rPr>
        <w:t>E. 2.2</w:t>
      </w:r>
    </w:p>
    <w:p>
      <w:r>
        <w:t>Il primo giudice ha pure correttamente ricordato come per giurisprudenza la protezione della situazione acquisita valga di massima per i soli mezzi ausiliari che sono stati effettivamente consegnati dall'AI , come indica del resto anche il titolo ("Diritto ai mezzi ausiliari nel caso di una precedente consegna tramite l'AI") dell' art. 4 OMAV (cfr. SVR 2003 AHV n. 12 pag. 31, H 230/01, consid. 2.1 - 2.2; v. inoltre la sentenza 9C_317/2009 del 19 aprile 2010 consid. 4.1 e 4.2 con riferimenti).</w:t>
      </w:r>
    </w:p>
    <w:p>
      <w:r>
        <w:rPr>
          <w:b/>
        </w:rPr>
        <w:t>E. 2.3</w:t>
      </w:r>
    </w:p>
    <w:p>
      <w:r>
        <w:t>Ora, la Corte cantonale ha rilevato l'assenza di prove a sostegno dell'assegnazione, da parte dell'AI, dei mezzi ausiliari in esame prima della nascita del diritto a una rendita AVS. Le contrarie affermazioni ricorsuali, oltre a contraddirsi - da un lato l'insorgente sostiene di non avere inoltrato alcuna richiesta all'AI prima dei 65 anni e di essersi assunto personalmente detti costi, dall'altro osserva che non si possa escludere che prestazioni come quelle in oggetto non siano state effettivamente riconosciute dall'AI -, non pretendono né spiegano minimamente in quale misura questo accertamento sarebbe manifestamente inesatto e quindi insostenibile ( DTF 134 V 53 consid. 4.3 pag. 62). Il ricorrente si limita infatti ad affermare - in manifesto contrasto con le carte processuali - che dal "Patienten-Ausweis" del 6 luglio 1972 della Clinica X.________ emergerebbe il riconoscimento del mezzo ausiliario in parola a carico dell'AI quando invece in tale documento nulla è specificato in merito al contenuto della prestazione addebitabile all'ufficio AI di Y.________. Egli attribuisce inoltre - sempre in contrasto con gli atti - all'amministrazione un'affermazione - la richiesta, nel 1953, di scarpe ortopediche prescritte da uno specialista e poi fornite dalla Clinica X.________ - che in realtà sembra piuttosto provenire da lui stesso. Di conseguenza, accertata - in maniera non arbitraria e quindi vincolante per questo Tribunale - l'assenza nel programma informatico (SUMEX) di registrazioni relative al riconoscimento di siffatte prestazioni AI dal 2000 come pure la mancanza di ogni altra prova atta a dimostrare, secondo il grado di verosimiglianza preponderante, tale circostanza per il periodo precedente - come hanno confermato anche le ricerche, infruttuose e non altrimenti emendabili, effettuate presso l'Ufficio AI di Y.________ -, il giudizio cantonale va confermato poiché è conforme al diritto federale (sulle conseguenze, anche nel diritto delle assicurazioni sociali, della mancanza di prova in merito a una circostanza di fatto da cui si intende dedurre un diritto cfr. DTF 117 V 261 consid. 3b pag. 264).</w:t>
      </w:r>
    </w:p>
    <w:p>
      <w:r>
        <w:rPr>
          <w:b/>
        </w:rPr>
        <w:t>E. 3</w:t>
      </w:r>
    </w:p>
    <w:p>
      <w:r>
        <w:t>Ne segue che, per quanto ricevibile, il ricorso dev'essere respinto.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