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9C_549/2011 vom 12. September 2011</w:t>
      </w:r>
    </w:p>
    <w:p>
      <w:r>
        <w:t>Bundesgericht, 2011-09-12, DE</w:t>
      </w:r>
    </w:p>
    <w:p>
      <w:r>
        <w:rPr>
          <w:b/>
        </w:rPr>
        <w:t xml:space="preserve">Quelle: </w:t>
      </w:r>
      <w:r>
        <w:t>https://mcp.opencaselaw.ch/entscheid/bger_9C_549_2011</w:t>
      </w:r>
    </w:p>
    <w:p>
      <w:r>
        <w:t>FR: TF 9C_549/2011 du 12 septembre 2011</w:t>
      </w:r>
    </w:p>
    <w:p>
      <w:r>
        <w:t>IT: TF 9C_549/2011 del 12 settembre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4 in Verbindung mit Abs. 3 IVV [SR 831.201]).</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8C_341/2011 vom 27. Juni 2011 E. 2.2.1).</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8C_341/2011 vom 27. Juni 2011 E. 2.2.3 mit Hinweisen).</w:t>
      </w:r>
    </w:p>
    <w:p>
      <w:r>
        <w:rPr>
          <w:b/>
        </w:rPr>
        <w:t>E. 3.1</w:t>
      </w:r>
    </w:p>
    <w:p>
      <w:r>
        <w:t>Zur Untermauerung der geltend gemachten gesundheitlichen Verschlechterung liegen einzig die beiden Schreiben der Frau Prakt. med. L.________, Fachärztin für Psychiatrie und Psychotherapie, vom 10. April 2010 und 5. Februar 2011, welche die Versicherte seit August 2009 behandelt, bei den Akten.</w:t>
      </w:r>
    </w:p>
    <w:p>
      <w:r>
        <w:rPr>
          <w:b/>
        </w:rPr>
        <w:t>E. 3.2.1</w:t>
      </w:r>
    </w:p>
    <w:p>
      <w:r>
        <w:t>Die Vorinstanz hat festgestellt, der Vergleich der gesundheitlichen Situation vor Erlass der Verfügung vom 23. Februar 2007 mit jener im Zeitpunkt der Neuanmeldung zeige ein praktisch gleich aussehendes Beschwerdebild. Depressive Symptome und Stimmungslage sowie Ängste wie Zukunftsangst, Beengungsgefühle oder Verzweiflung seien in den Berichten vor 2007 immer wieder genannt worden. Daher erscheine die von Frau Prakt. med. L.________ diagnosti-zierte Angststörung (ICD-10: F41.0) nicht als neues psychiatrisches Leiden, sondern als Neubenennung des bereits seit Jahren bestehenden bzw. immer wieder aufgetretenen Beschwerdebildes. In Bezug auf die ebenfalls neue Diagnose einer posttraumatischen Belastungsstörung (ICD-10: F43.1) fehle es an einem Trauma, welches definitionsgemäss geeignet sei, eine solche Störung auszulösen.</w:t>
      </w:r>
    </w:p>
    <w:p>
      <w:r>
        <w:rPr>
          <w:b/>
        </w:rPr>
        <w:t>E. 3.2.2</w:t>
      </w:r>
    </w:p>
    <w:p>
      <w:r>
        <w:t>Diese Sachverhaltsfeststellungen sind nicht offensichtlich unrichtig; solches wird denn auch nicht gerügt. Soweit die Versicherte seit 2007 neu aufgetretene starke Rückenschmerzen, Blockaden im Hals mit Ausstrahlung in den Kopf, Sprechstörungen und erheblich erhöhte Verabreichung von Medikamenten geltend macht, finden sich dafür in den Schreiben der Frau Prakt. med. L.________ keine Hinweise. Gefühlsveränderungen, insbesondere "Taubheit", wurden bereits im - der Verfügung vom 23. Februar 2007 zugrunde liegenden - Gutachten des Instituts X.________ vom 5. Oktober 2006 ausführlich thematisiert. Im Übrigen lässt sich allein aus der vom Gutachten des Instituts X.________ abweichenden Diagnosestellung und Arbeitsfähigkeitsschätzung der Frau Prakt. med. L.________ nicht auf einen veränderten Gesundheitszustand schliessen, wurden doch in Bezug auf diese - zu einem guten Teil auf ärztlichem Ermessen beruhenden - Aspekte bereits vor Erlass der Verfügung vom 23. Februar 2007 unterschiedliche Auffassungen vertreten.</w:t>
      </w:r>
    </w:p>
    <w:p>
      <w:r>
        <w:rPr>
          <w:b/>
        </w:rPr>
        <w:t>E. 3.2.3</w:t>
      </w:r>
    </w:p>
    <w:p>
      <w:r>
        <w:t>Weiter beruhen die Feststellungen nicht auf einer Rechtsverletzung. Zwar hat die Vorinstanz für den Sachverhalt im Vergleichszeitpunkt nicht ausschliesslich auf das Gutachten des Instituts X.________ verwiesen. Dies schadet indessen nicht, lassen sich tatsächliche Gegebenheiten doch auch weiteren medizinischen Unterlagen entnehmen. Diese fanden zudem zu Recht und notwendigerweise Eingang in das Gutachten des Instituts X.________ ( BGE 125 V 351 E. 3a S. 352), auch wenn die Experten - namentlich aufgrund eigener Untersuchungen - insbesondere in Bezug auf die Arbeitsfähigkeit von anderen ärztlichen Meinungen abweichende Schlüsse zogen. Von einer "willkürlichen Auswahl der Grundlagen" (vgl. Art. 9 BV ) kann daher nicht die Rede sein.</w:t>
      </w:r>
    </w:p>
    <w:p>
      <w:r>
        <w:rPr>
          <w:b/>
        </w:rPr>
        <w:t>E. 3.2.4</w:t>
      </w:r>
    </w:p>
    <w:p>
      <w:r>
        <w:t>Nach dem Gesagten sind die vorinstanzlichen Sachverhaltsfeststellungen (E. 3.2.1) für das Bundesgericht verbindlich (E. 1).</w:t>
      </w:r>
    </w:p>
    <w:p>
      <w:r>
        <w:rPr>
          <w:b/>
        </w:rPr>
        <w:t>E. 3.3</w:t>
      </w:r>
    </w:p>
    <w:p>
      <w:r>
        <w:t>Dass die Vorinstanz folglich eine erhebliche Veränderung des Sachverhalts nicht für glaubhaft gehalten hat, verletzt Bundesrecht nicht (E. 2.3). Entgegen der Auffassung der Beschwerdeführerin genügt in Bezug auf das Beweismass des Glaubhaftmachens nicht, dass die geltend gemachte Änderung lediglich nicht vollkommen unglaubwürdig ist. Vielmehr bedarf es eines substanziellen Anhaltspunkts für eine allfällige neue Prüfung des Leistungsanspruchs (vgl. Urteil 8C_341/2011 vom 27. Juni 2011 E. 2.2.2). Daran fehlt es hier.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