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9C_548/2024 vom 9. Oktober 2024</w:t>
      </w:r>
    </w:p>
    <w:p>
      <w:r>
        <w:t>Bundesgericht, 2024-10-09, FR</w:t>
      </w:r>
    </w:p>
    <w:p>
      <w:r>
        <w:rPr>
          <w:b/>
        </w:rPr>
        <w:t xml:space="preserve">Quelle: </w:t>
      </w:r>
      <w:r>
        <w:t>https://mcp.opencaselaw.ch/entscheid/bger_9C_548_2024</w:t>
      </w:r>
    </w:p>
    <w:p>
      <w:r>
        <w:t>FR: TF 9C_548/2024 du 9 octobre 2024</w:t>
      </w:r>
    </w:p>
    <w:p>
      <w:r>
        <w:t>IT: TF 9C_548/2024 del 9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9C_548/2024</w:t>
      </w:r>
    </w:p>
    <w:p>
      <w:r>
        <w:t>Arrêt du 9 octobre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un arrêt du Tribunal cantonal du canton de Vaud du 24 juillet 2024.</w:t>
      </w:r>
    </w:p>
    <w:p>
      <w:r>
        <w:t>Vu :</w:t>
      </w:r>
    </w:p>
    <w:p>
      <w:r>
        <w:t>le recours interjeté par A.________ le 17 septembre 2024 contre un arrêt rendu par la Cour des assurances sociales du Tribunal cantonal du canton de Vaud le 24 juillet 2024,</w:t>
      </w:r>
    </w:p>
    <w:p>
      <w:r>
        <w:t>l'ordonnance du 18 septembre 2024, par laquelle le Tribunal fédéral a informé l'assurée qu'elle avait omis de produire la décision attaquée et qu'elle pouvait remédier à cette irrégularité dans un délai échéant le 30 septembre 2024, faute de quoi son mémoire de recours ne serait pas pris en considération,</w:t>
      </w:r>
    </w:p>
    <w:p>
      <w:r>
        <w:t>que cet envoi n'a pas été réclamé,</w:t>
      </w:r>
    </w:p>
    <w:p>
      <w:r>
        <w:t>considérant :</w:t>
      </w:r>
    </w:p>
    <w:p>
      <w:r>
        <w:t>que la décision attaquée doit être jointe au recours ( art. 42 al. 3 LTF ),</w:t>
      </w:r>
    </w:p>
    <w:p>
      <w:r>
        <w:t>que, si ladite décision n'est pas produite, le Tribunal fédéral impartit un délai approprié à la partie afin qu'elle remédie à l'irrégularité et l'avertit qu'à défaut, le mémoire ne sera pas pris en considération ( art. 42 al. 5 LTF ),</w:t>
      </w:r>
    </w:p>
    <w:p>
      <w:r>
        <w:t>que la recourante n'a pas produit l'arrêt attaqué dans le délai légal et n'a pas corrigé cette irrégularité dans le délai supplémentaire imparti,</w:t>
      </w:r>
    </w:p>
    <w:p>
      <w:r>
        <w:t>que, par ailleurs, 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que le défaut de production de l'arrêt attaqué empêche le Tribunal fédéral d'examiner le bien-fondé du recours,</w:t>
      </w:r>
    </w:p>
    <w:p>
      <w:r>
        <w:t>que dans son écriture du 17 septembre 2024, la recourante se limite effectivement à contester une décision de l'assurance-invalidité, confirmée par le tribunal cantonal, au motif que ces "deux institutions n'acceptent pas [s]a maladie, fibromyalgie" apparue en 2017 et attestée par un rhumatologue,</w:t>
      </w:r>
    </w:p>
    <w:p>
      <w:r>
        <w:t>qu'elle n'explique ainsi pas en quoi l'acte attaqué serait contraire au droit fédéral au sens de l' art. 95 let. a LTF ni en quoi les constatations du tribunal cantonal seraient manifestement inexactes (notion correspondant à celle d'arbitraires, cf. ATF 134 V 53 consid. 4.3) au sens de l' art. 97 al. 1 LTF ,</w:t>
      </w:r>
    </w:p>
    <w:p>
      <w:r>
        <w:t>que l'annonce de la production de preuves aussitôt qu'un avocat aura été mandaté n'est au demeurant d'aucune utilité à la recourante dès lors que les conclusions, les motifs et les moyens de preuves doivent être formulés et produits dans le délai légal non prolongeable de recours ( art. 47 al. 1 LTF ) pour être pris en considération (cf. ATF 135 I 19 consid. 2.2; 134 IV 156 consid. 1.7),</w:t>
      </w:r>
    </w:p>
    <w:p>
      <w:r>
        <w:t>que, dans la mesure où il ne répond manifestement pas aux exigences de l' art. 42 al. 1, 2 et 3 LTF , le recours doit être déclaré irrecevable selon la procédure simplifiée de l' art. 108 al. 1 let. a et b LTF ,</w:t>
      </w:r>
    </w:p>
    <w:p>
      <w:r>
        <w:t>qu'eu égard aux circonstances, il convient de renoncer à percevoir des frais judiciaires (art. 66 al. 1 seconde phrase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9 octobre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