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9C_547/2023 vom 8. April 2025</w:t>
      </w:r>
    </w:p>
    <w:p>
      <w:r>
        <w:t>Bundesgericht, 2025-04-08, DE</w:t>
      </w:r>
    </w:p>
    <w:p>
      <w:r>
        <w:rPr>
          <w:b/>
        </w:rPr>
        <w:t xml:space="preserve">Quelle: </w:t>
      </w:r>
      <w:r>
        <w:t>https://mcp.opencaselaw.ch/entscheid/bger_9C_547_2023</w:t>
      </w:r>
    </w:p>
    <w:p>
      <w:r>
        <w:t>FR: TF 9C_547/2023 du 8 avril 2025</w:t>
      </w:r>
    </w:p>
    <w:p>
      <w:r>
        <w:t>IT: TF 9C_547/2023 del 8 aprile 2025</w:t>
      </w:r>
    </w:p>
    <w:p>
      <w:pPr>
        <w:pStyle w:val="Heading2"/>
      </w:pPr>
      <w:r>
        <w:t>Erwägungen</w:t>
      </w:r>
    </w:p>
    <w:p>
      <w:r>
        <w:rPr>
          <w:b/>
        </w:rPr>
        <w:t>E. 1</w:t>
      </w:r>
    </w:p>
    <w:p>
      <w:r>
        <w:t>Die Beschwerde wurde unter Einhaltung der gesetzlichen Frist ( Art. 100 Abs. 1 BGG ) eingereicht und richtet sich gegen einen Entscheid einer letzten, oberen kantonalen Instanz in einer öffentlich-rechtlichen Angelegenheit ( Art. 82 lit. a BGG ,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(Urteile 9C_591/2023 vom 2. April 2024 E. 1.1, nicht publ. in: BGE 150 II 321 ; 2C_398/2021 vom 23. Dezember 2021 E. 1.1, nicht publ. in: BGE 148 II 285 , aber in: StE 2022 A 24.21 Nr. 43; 2C_211/2021 / 2C_212/2021 vom 8. Juni 2021 E. 1.1). Die Beschwerdeführerin ist als Steuerpflichtige gemäss Art. 89 Abs. 1 BGG und Art. 73 Abs. 2 StHG (SR 642.14) zur Beschwerde legitimiert. Auf die Beschwerde gegen den Kanton Zürich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ist mit "willkürlich" gleichzusetzen ( BGE 150 II 346 E. 1.6; 149 IV 57 E. 2.2). Die Anfechtung der vorinstanzlichen Feststellungen unterliegt der qualifizierten Rüge- und Begründungsobliegenheit ( BGE 150 II 346 E. 1.6; 149 II 43 E. 3.6.4; BGE 148 I 160 E. 3; BGE 148 III 215 E. 3.1.4; BGE 148 IV 356 E. 2.1; BGE 148 V 366 E. 3.3).</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und für den die Bindungswirkung nicht gilt. Zu diesen Vorbringen muss sich auch die beschwerdeführende Partei frei äussern können. Insoweit kommt das Bundesgericht nicht umhin, den Sachverhalt frei zu prüfen, und ist auch das Novenverbot zu relativieren ( BGE 139 II 373 E. 1.7 mit Hinweisen; Urteile 9C_73/2024 vom 26. Februar 2025 E. 2.2; 2C_615/2021 vom 22. September 2022 E. 2.2; 2C_55/2021 vom 28. Dezember 2021 E. 2.1.2).</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(zum Ganzen: BGE 150 II 346 E. 1.5; sodann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Strittig und zu prüfen ist - im Rahmen des Steuerdomizilverfahrens -, wo das Hauptsteuerdomizil der Beschwerdeführerin zu verorten ist.</w:t>
      </w:r>
    </w:p>
    <w:p>
      <w:r>
        <w:rPr>
          <w:b/>
        </w:rPr>
        <w:t>E. 3.1</w:t>
      </w:r>
    </w:p>
    <w:p>
      <w:r>
        <w:t>Juristische Personen sind nach harmonisiertem kantonalen Steuerrecht (vgl. § 55 des Steuergesetzes [des Kantons Zürich] vom 8. Juni 1997 [StG/ZH; LS 631.1] und § 51 Abs. 1 des Steuergesetzes des Kantons Zug vom 21. Mai 2000 [StG/ZG; BGS 621.11] sowie Art. 20 Abs. 1 StHG ) einem Kanton gegenüber persönlich zugehörig und deshalb unbeschränkt steuerpflichtig, wenn sich ihr Sitz oder ihre tatsächliche Verwaltung auf dem Gebiet dieses Kantons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bzw. Art. 46 Abs. 2 aBV zu entnehmen.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 BGE 150 II 321 E. 3.2; Urteile 9C_73/2024 vom 26. Februar 2025 E. 4.1, zur Publikation vorgesehen; 2C_211/2019 vom 6. April 2022 E. 4.2.2; 2C_24/2021 vom 6. Oktober 2021 E. 4.2; 2C_549/2018 vom 30. Januar 2019 E. 2.2; 2C_848/2017 vom 7. September 2018 E. 3.2). In diesem Fall kann der Sitzkanton die juristische Person nur noch besteuern, falls und soweit sie im Sitzkanton ein Nebensteuerdomizil (z.B. eine Betriebsstätte oder ein Grundstück) unterhält (vgl. implizit Urteil 2C_627/2017 vom 1. Februar 2019 E. 4, in: StE 2019 B 71.31 Nr. 4, StR 74/2019 S. 286).</w:t>
      </w:r>
    </w:p>
    <w:p>
      <w:r>
        <w:rPr>
          <w:b/>
        </w:rPr>
        <w:t>E. 3.2</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 (Urteil 9C_73/2024 vom 26. Februar 2025 E. 4.2 m.H., zur Publikation vorgesehen).</w:t>
      </w:r>
    </w:p>
    <w:p>
      <w:r>
        <w:rPr>
          <w:b/>
        </w:rPr>
        <w:t>E. 4.1</w:t>
      </w:r>
    </w:p>
    <w:p>
      <w:r>
        <w:t>Das Verwaltungsgericht des Kantons Zürich hat in Übereinstimmung mit dem Urteil des Steuerrekursgerichts zusammengefasst festgestellt, dass der Sitz im Kanton Zug bloss formeller Natur sei (sog. Briefkastendomizil). So hätte die Beschwerdeführerin keine Räume zur alleinigen Nutzung zur Verfügung, bezahle bloss eine Domizilgebühr von Fr. 1'200.- anstelle einer Miete und beschäftige vor Ort kein Personal. Zudem habe die Beschwerdeführerin dies auch nicht weiter substanziiert bestritten.</w:t>
      </w:r>
    </w:p>
    <w:p>
      <w:r>
        <w:t>Weiter ist das Verwaltungsgericht unter Würdigung der ihm vorliegenden Beweismittel zum Schluss gekommen, dass wenn sich die Geschäftsführung einer Gesellschaft um die Tätigkeit des alleinigen Geschäftsführers drehe und - wie hier - kein geografischer Schwerpunkt der Geschäftsführung ausgemacht werden könne, am Wohnsitz des Geschäftsführers der Ort der tatsächlichen Verwaltung angenommen werden könne. Im Detail hält es Folgendes dazu fest:</w:t>
      </w:r>
    </w:p>
    <w:p>
      <w:r>
        <w:rPr>
          <w:b/>
        </w:rPr>
        <w:t>E. 4.1.1</w:t>
      </w:r>
    </w:p>
    <w:p>
      <w:r>
        <w:t>Zunächst schliesst es, dass die Geschäftsführung einzig durch den Verwaltungsrat B.________ erfolge:</w:t>
      </w:r>
    </w:p>
    <w:p>
      <w:r>
        <w:t>Die Tätigkeit der Beschwerdeführerin im Rahmen des Gesellschaftszwecks (Qualitätszertifizierung von (...) systemen, Engineering und fachtechnischer Beratung und Betreuung sowie Verkauf, Vermietung und Vermittlung von (...) systemen) werde durch selbständige Fachleute ausgeübt, die länderabhängig mandatiert würden. B.________ sei als Geschäftsführer tätig und sei zu 90 % seiner Arbeitszeit im Ausland tätig und führe die Geschäfte der Beschwerdeführerin vom jeweiligen Standort aus. Sodann bilde das Prüflabor in V.________ (Deutschland) den Schwerpunkt der Tätigkeit der Beschwerdeführerin. Namentlich sei der Standort V.________ (Deutschland) insbesondere durch das eigene Prüf- und Entwicklungslabor zum Hauptwirkungsort der Beschwerdeführerin avanciert. Das Büro in U1.________ (Deutschland) übernehme vor allem die Gremientätigkeiten, Fachvorträge und technische Beratung der Beschwerdeführerin. Hier sei der Sitz von Frau Dr. F.________, die von hier aus Kunden im In- und Ausland betreue und Projekte vorbereite und konzipiere. Ausgehend vom Gründungssitz in der Schweiz betreue B.________ vornehmlich Kunden im Ausland. Hieraus werde klar, dass das Tagesgeschäft im Ausland, insbesondere in Deutschland stattfinden würde. Ob und wie viele Angestellte dort beschäftigt seien, könne offengelassen werden, da diese nicht für die tatsächliche Leitung des Unternehmens zuständig seien. Es sei daher auch nicht erforderlich abzuklären, welcher Personalaufwand dort [in Deutschland] anfallen werde. Denn die Geschäftsführung erfolge unbestrittenermassen einzig durch den zur Geschäftsführung autorisierten Verwaltungsrat B.________.</w:t>
      </w:r>
    </w:p>
    <w:p>
      <w:r>
        <w:rPr>
          <w:b/>
        </w:rPr>
        <w:t>E. 4.1.2</w:t>
      </w:r>
    </w:p>
    <w:p>
      <w:r>
        <w:t>Sodann sei der Frage nachzugehen, wo das "Day-to-day-Management" durch B.________ erfolge. Die Unterinstanz führe hierzu aus, dass bereits aufgrund der Tatsache, dass in V.________ (Deutschland) ein Prüfungs- und Entwicklungslabor betrieben werde, ersichtlich sei, dass wichtige Entscheide der Geschäftsführung auch an diesem Standort getroffen würden. Aus der Auflistung der Auslandaufenthalte 2014 - 2020 von B.________ ergebe sich jedoch kein Hinweis auf einen Aufenthalt in V.________ (Deutschland). Hierzu würde sich die Beschwerdeführerin auch nicht weiter äussern. Grundsätzlich sei unbestritten, dass mit der Tätigkeit von B.________ eine hohe Reisetätigkeit im Ausland einhergehe. Im Jahr 2015 habe er - ohne Einreichung entsprechender Belege (z.B. Flugtickets, Hotelübernachtungen) hierfür - 48 Auslandreisen, im Jahr 2016 58, im Jahr 2017 63, im Jahr 2018 26 und im Jahr 2019 44 Auslandreisen unternommen. Vor Ort bei den Kunden im Ausland sei er einerseits in seiner Funktion als Angestellter für die Beschwerdeführerin tätig, andererseits dürfte er dort aber auch massgebende Entscheide als Geschäftsführer getroffen haben. Den Aufenthalten im Ausland würden die Aufenthalte an seinem Wohnort im Kanton Zürich gegenüberstehen: Es könne ohne Weiteres die Annahme getroffen werden, dass B.________ während dieser restlichen Zeit die Geschäfte der Beschwerdeführerin von seinem Wohnort aus geleitet habe.</w:t>
      </w:r>
    </w:p>
    <w:p>
      <w:r>
        <w:rPr>
          <w:b/>
        </w:rPr>
        <w:t>E. 4.1.3</w:t>
      </w:r>
    </w:p>
    <w:p>
      <w:r>
        <w:t>Auf dieser Basis erwog schliesslich das Verwaltungsgericht, dass sich kein geografischer Schwerpunkt der Geschäftsführung ausmachen lasse. Drehe sich die Geschäftsführung einer Gesellschaft um die Tätigkeit des alleinigen Geschäftsführers und könne - wie hier - kein geografischer Schwerpunkt ausgemacht werden, könne am Wohnsitz des Geschäftsführers der Ort der tatsächlichen Verwaltung angenommen werden. Da sich die zentrale Geschäftsführung bei B.________ konzentrieren würde, sei der Schluss der Unterinstanz, jener habe die Geschicke der Gesellschaft von seinem jeweiligen Wohnort im Kanton Zürich geleitet, zu bestätigen.</w:t>
      </w:r>
    </w:p>
    <w:p>
      <w:r>
        <w:rPr>
          <w:b/>
        </w:rPr>
        <w:t>E. 4.2</w:t>
      </w:r>
    </w:p>
    <w:p>
      <w:r>
        <w:t>Die Beschwerdeführerin macht geltend, dass die Vorinstanz Beweislosigkeit angenommen und ihr die beweisrechtlichen Folgen derselben auferlegt habe. Wenn eine steuerbegründende Tatsache beweislos geblieben sei - gemeint vorliegend der geografische Schwerpunkt der Geschäftsführung zur Lokalisierung des Orts der tatsächlichen Verwaltung -, so könne ein unbewiesener Sachverhalt nicht der Beschwerdeführerin angelastet werden. Auch sei es in diesem Fall willkürlich darauf abzustellen, der Geschäftsführer habe schwergewichtig an seinem Wohnsitz die tatsächliche Verwaltung der Beschwerdeführerin vorgenommen.</w:t>
      </w:r>
    </w:p>
    <w:p>
      <w:r>
        <w:rPr>
          <w:b/>
        </w:rPr>
        <w:t>E. 4.3</w:t>
      </w:r>
    </w:p>
    <w:p>
      <w:r>
        <w:t>Der Kanton Zug bestreitet den Schluss des Verwaltungsgerichts ebenfalls; werde die Geschäftsführung an verschiedenen Orten wahrgenommen und lasse sich, trotz Mitwirkung der Beschwerdeführerin, kein Schwerpunkt feststellen, stehe dem Sitzkanton das Besteuerungsrecht zu. Andernfalls sei im Übrigen das Besteuerungsrecht des Kantons Zürich für die Steuerperiode 2015 verwirkt.</w:t>
      </w:r>
    </w:p>
    <w:p>
      <w:r>
        <w:rPr>
          <w:b/>
        </w:rPr>
        <w:t>E. 5.1</w:t>
      </w:r>
    </w:p>
    <w:p>
      <w:r>
        <w:t>Das Bundesgericht hat sich unlängst in einem zur Publikation bestimmten Urteil (9C_73/2024 vom 26. Februar 2025) mit grundlegenden Fragen zur Bestimmung des Orts der tatsächlichen Verwaltung befasst. Hierin hat es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begründet erweisen könne. Das bedeute jedoch nicht, dass der Wohnsitz ihres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alleine der Sitz und der Ort der tatsächlichen Verwaltung. Könne unter Würdigung der gesamten Umstände nicht mit dem erforderlichen Beweismass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(Urteil 9C_73/2024 vom 26. Februar 2025 E. 4.5.1, zur Publikation vorgesehen; vgl. auch Urteil 9C_504/2024 vom 19. März 2025 E. 7.1).</w:t>
      </w:r>
    </w:p>
    <w:p>
      <w:r>
        <w:rPr>
          <w:b/>
        </w:rPr>
        <w:t>E. 5.2</w:t>
      </w:r>
    </w:p>
    <w:p>
      <w:r>
        <w:t>Wohl bezieht sich die Vorinstanz bei ihrer Würdigung darauf, dass auch am Wohnort des Geschäftsführers die Geschäfte der Beschwerdeführerin geleitet worden seien, nämlich dann, wenn dieser nicht im Ausland geweilt habe, wo er ebenfalls "massgebende Entscheide als Geschäftsführer" getroffen haben dürfte (angefochtenes Urteil E. 4.2). Daraufhin hat die Vorinstanz - für das Bundesgericht verbindlich - festgestellt, dass sich ein geografischer Schwerpunkt der Geschäftsführung nicht ausmachen lasse. Gleichwohl hat es alsdann geschlossen, weil sich die Geschäftsführung der Gesellschaft um die Geschäftstätigkeit des alleinigen Geschäftsführers drehe, befinde sich der Ort der tatsächlichen Verwaltung an dessen Wohnsitz. Damit hat die Vorinstanz den Wohnsitz des Geschäftsführers als Rückfallebene im Sinne eines subsidiären Steuerdomizils der juristischen Person herangezogen, was sich vor dem Hintergrund der jüngsten bundesgerichtlichen Rechtsprechung (E. 5.1) als unzutreffend erweist.</w:t>
      </w:r>
    </w:p>
    <w:p>
      <w:r>
        <w:t>Die Beschwerdeführerin beanstandet daher zu Recht eine Verletzung der Verteilung der (objektiven) Beweislast. Durch die vorinstanzliche Feststellung, dass sich kein geografischer Schwerpunkt der Geschäftsführung ausmachen lässt, bleibt der Ort der tatsächlichen Verwaltung beweislos. Kann - wie hier - unter Würdigung der gesamten Umstände nicht mit dem erforderlichen Beweismass festgestellt werden, dass an einem bestimmten Ort schwergewichtig die wesentlichen Unternehmensentscheide getroffen und die Geschäfte geführt worden sind, kann die juristische Person an diesem Ort nicht ihre tatsächliche Verwaltung haben; eine unbeschränkte Steuerpflicht ausserhalb des Sitzkantons scheidet in diesem Fall aus (E. 3.1).</w:t>
      </w:r>
    </w:p>
    <w:p>
      <w:r>
        <w:rPr>
          <w:b/>
        </w:rPr>
        <w:t>E. 6.1</w:t>
      </w:r>
    </w:p>
    <w:p>
      <w:r>
        <w:t>Nach dem Gesagten erweist sich die Beschwerde gegen das Urteil des Verwaltungsgerichts des Kantons Zürich vom 5. Juli 2023 für die Steuerperioden 2015 - 2019 als begründet und ist gutzuheissen. Das Urteil des Verwaltungsgerichts des Kantons Zürich wird aufgehoben.</w:t>
      </w:r>
    </w:p>
    <w:p>
      <w:r>
        <w:rPr>
          <w:b/>
        </w:rPr>
        <w:t>E. 6.2</w:t>
      </w:r>
    </w:p>
    <w:p>
      <w:r>
        <w:t>Bei diesem Verfahrensausgang sind die Kosten des bundesgerichtlichen Verfahrens dem Kanton Zürich aufzuerlegen ( Art. 65 und 66 Abs. 1 BGG ).</w:t>
      </w:r>
    </w:p>
    <w:p>
      <w:r>
        <w:rPr>
          <w:b/>
        </w:rPr>
        <w:t>E. 6.3</w:t>
      </w:r>
    </w:p>
    <w:p>
      <w:r>
        <w:t>Der Kanton Zürich hat der Beschwerdeführerin aufgrund deren Obsiegens eine angemessene Parteientschädigung für das bundesgerichtliche Verfahren auszurichten ( Art. 68 Abs. 1 und 2 BGG ). Dem Kanton Zug, der in seinem amtlichen Wirkungskreis obsiegt, steht keine Parteientschädigung zu ( Art. 68 Abs. 3 BGG ).</w:t>
      </w:r>
    </w:p>
    <w:p>
      <w:r>
        <w:rPr>
          <w:b/>
        </w:rPr>
        <w:t>E. 6.4</w:t>
      </w:r>
    </w:p>
    <w:p>
      <w:r>
        <w:t>Die Kosten- und Entschädigungsfolgen der kantonalen Rechtsmittelverfahren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