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9C_544/2007 vom 28. April 2008</w:t>
      </w:r>
    </w:p>
    <w:p>
      <w:r>
        <w:t>Bundesgericht, 2008-04-28, FR</w:t>
      </w:r>
    </w:p>
    <w:p>
      <w:r>
        <w:rPr>
          <w:b/>
        </w:rPr>
        <w:t xml:space="preserve">Quelle: </w:t>
      </w:r>
      <w:r>
        <w:t>https://mcp.opencaselaw.ch/entscheid/bger_9C_544_2007</w:t>
      </w:r>
    </w:p>
    <w:p>
      <w:r>
        <w:t>FR: TF 9C_544/2007 du 28 avril 2008</w:t>
      </w:r>
    </w:p>
    <w:p>
      <w:r>
        <w:t>IT: TF 9C_544/2007 del 28 aprile 2008</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ainsi limité ni par les arguments du recourant, ni par la motivation de l'autorité précédente (cf. ATF 130 III 136 consid. 1.4 p. 140).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En l'espèce, il s'agit de savoir si l'on est en présence d'un motif de révision, ce qui suppose une modification notable du taux d'invalidité ( art. 17 LPGA ). A cet égard, le jugement entrepris expose correctement les règles légales et les principes jurisprudentiels relatifs à l'évaluation de l'invalidité et de la révision de la rente. Il suffit d'y renvoyer sur ce point.</w:t>
      </w:r>
    </w:p>
    <w:p>
      <w:r>
        <w:rPr>
          <w:b/>
        </w:rPr>
        <w:t>E. 3</w:t>
      </w:r>
    </w:p>
    <w:p>
      <w:r>
        <w:t>Les premiers juges ont constaté qu'une rente entière d'invalidité avait été octroyée au recourant principalement en raison de troubles psychiques. Lors de la procédure de révision du droit à la rente, l'intimé avait versé au dossier le rapport du psychiatre H.________, lequel attestait l'absence de tout trouble psychopathologique chez l'assuré. Ce dernier ne contestait d'ailleurs pas le fait que son état de santé s'était amélioré sur le plan psychique. Au vu de ces éléments, les premiers juges ont conclu que d'un point de vue psychiatrique, les atteintes à la santé du recourant avaient disparu et ne justifiaient plus d'incapacité de travail.</w:t>
      </w:r>
    </w:p>
    <w:p>
      <w:r>
        <w:t>Dans son recours en matière de droit public, le recourant ne conteste pas l'absence de troubles psychiques constatée par les juges de première instance. En revanche, il s'en prend à l'appréciation des preuves par l'autorité judiciaire précédente en ce qui concerne son état de santé sur le plan somatique.</w:t>
      </w:r>
    </w:p>
    <w:p>
      <w:r>
        <w:rPr>
          <w:b/>
        </w:rPr>
        <w:t>E. 4.1</w:t>
      </w:r>
    </w:p>
    <w:p>
      <w:r>
        <w:t>Sur le plan somatique, les premiers juges ont constaté, en se fondant sur les rapports d'expertise des docteurs U.________ et D.________, que l'état de santé du recourant n'avait pas évolué. En particulier, il ne s'était pas aggravé en raison des céphalées. Comme le retient la juridiction cantonale, si l'on compare le rapport d'expertise du docteur O.________ avec ceux des docteurs U.________ et D.________, les principaux diagnostics posés sont pratiquement superposables. Les conclusions des experts sont divergentes, en revanche, en ce qui concerne les répercussions des atteintes à la santé sur la capacité de travail. Le docteur O.________ avait relevé que le recourant se plaignait de céphalées qui s'étaient aggravées, parallèlement à la symptomatologie lombaire et qui étaient accompagnées de nausées et de vomissements. Ce médecin concluait qu'en dépit de ces plaintes, le recourant était en mesure de mettre en valeur une capacité de travail de 70 %. Le docteur U.________ a conclu, pour sa part, qu'une capacité résiduelle de travail de 50 % dans une activité adaptée semblait justifiée principalement en raison des céphalées. Le neurologue D.________ a quant à lui retenu une capacité résiduelle de travail de 75 % dans une activité adaptée, laquelle devait être réduite à 50 % en raison des crises de migraines.</w:t>
      </w:r>
    </w:p>
    <w:p>
      <w:r>
        <w:rPr>
          <w:b/>
        </w:rPr>
        <w:t>E. 4.2</w:t>
      </w:r>
    </w:p>
    <w:p>
      <w:r>
        <w:t>Sur la base de ces éléments, il y a lieu de constater que tant le docteur U.________ que le docteur D.________ ne font pas état d'une modification de l'état de santé du recourant, mais remettent en cause l'appréciation précédente - et fondée sur un même état de fait - du docteur O.________. Aussi, en retenant que l'état de santé du recourant sur le plan somatique était demeuré inchangé et qu'il était désormais capable d'exercer une activité légère et adaptée à 70 % après disparition d'une incapacité de travail pour raison psychiatrique, il n'apparaît pas que les premiers juges aient procédé de manière contraire au droit fédéral.</w:t>
      </w:r>
    </w:p>
    <w:p>
      <w:r>
        <w:rPr>
          <w:b/>
        </w:rPr>
        <w:t>E. 5</w:t>
      </w:r>
    </w:p>
    <w:p>
      <w:r>
        <w:t>Dans la comparaison des revenus, les premiers juges ont fixé le revenu sans invalidité à 57'696 fr. 60 et le revenu d'invalide à 29'777 fr. 45 par année, montants qui ne sont en soi pas contestés par le recourant. En comparant ces chiffres, on obtient un degré d'invalidité de 48,4 %, à savoir un taux ouvrant droit à un quart de rente. Les conditions d'une révision étaient ainsi réunies pour remplacer, à partir du 1er mai 2005, le droit du recourant à une rente entière par un quart de rente ( art. 17 LPGA ; art. 88bis al. 2 let. a RAI ).</w:t>
      </w:r>
    </w:p>
    <w:p>
      <w:r>
        <w:rPr>
          <w:b/>
        </w:rPr>
        <w:t>E. 6.1</w:t>
      </w:r>
    </w:p>
    <w:p>
      <w:r>
        <w:t>Selon la jurisprudence, les frais d'expertise privée peuvent être inclus dans les dépens mis à la charge de l'assureur social, lorsque cette expertise était nécessaire à la résolution du litige ( ATF 115 V 62 ). Bien que les art. 7 ss du Règlement concernant les frais, dépens et indemnités fixés par le Tribunal administratif fédéral (FITAF; RS 173.320.2) ne prévoient en principe pas de dépens à la charge de la partie qui obtient gain de cause, le juge peut également mettre ces frais d'expertise privée à la charge de l'assureur social dont les conclusions sont finalement admises, lorsque celui-ci a violé son obligation d'instruire la cause d'office (arrêt M. du 21 octobre 2003 [U 282/00] consid. 5.1).</w:t>
      </w:r>
    </w:p>
    <w:p>
      <w:r>
        <w:rPr>
          <w:b/>
        </w:rPr>
        <w:t>E. 6.2</w:t>
      </w:r>
    </w:p>
    <w:p>
      <w:r>
        <w:t>Tel est le cas en l'espèce. En effet, les premiers juges ont estimé que l'instruction à laquelle avait procédé l'intimé était incomplète, raison pour laquelle ils ont fondé leur appréciation sur les deux expertises versées au dossier par le recourant. Dès lors que lesdites expertises se sont révélées nécessaires à l'instruction de la cause, c'est de manière contraire au droit fédéral que les premiers juges n'ont pas mis les frais afférents à ces dernières à la charge de l'assureur social. Par conséquent, la conclusion du recourant tendant à la prise en charge des frais d'expertises privées par l'intimé doit être admise.</w:t>
      </w:r>
    </w:p>
    <w:p>
      <w:r>
        <w:rPr>
          <w:b/>
        </w:rPr>
        <w:t>E. 7</w:t>
      </w:r>
    </w:p>
    <w:p>
      <w:r>
        <w:t>Pour ce qui est de la procédure devant le Tribunal fédéral, il se justifie de mettre les frais à la charge du recourant qui n'obtient que très partiellement gain de cause ( art. 68 al. 1 LTF ). Pour les mêmes raisons, ce dernier ne saurait prétendre à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