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543/2011 vom 19. Januar 2012</w:t>
      </w:r>
    </w:p>
    <w:p>
      <w:r>
        <w:t>Bundesgericht, 2012-01-19, FR</w:t>
      </w:r>
    </w:p>
    <w:p>
      <w:r>
        <w:rPr>
          <w:b/>
        </w:rPr>
        <w:t xml:space="preserve">Quelle: </w:t>
      </w:r>
      <w:r>
        <w:t>https://mcp.opencaselaw.ch/entscheid/bger_9C_543_2011</w:t>
      </w:r>
    </w:p>
    <w:p>
      <w:r>
        <w:t>FR: TF 9C 543/2011 du 19 janvier 2012</w:t>
      </w:r>
    </w:p>
    <w:p>
      <w:r>
        <w:t>IT: TF 9C 543/2011 del 19 gennaio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Après examen de la documentation médicale versée au dossier, la juridiction cantonale a, sur la base des conclusions de l'expertise établie par le docteur V.________, considéré qu'en dehors des périodes d'hospitalisation et de celles durant lesquelles une incapacité de travail totale avait été reconnue, le recourant était en mesure d''exercer à 70 % tout emploi adapté respectant les limitations décrites par le corps médical. Mises à part les affections constatées au niveau cervico-dorso-lombaire et l'incontinence urinaire, les autres affections (maladie coronarienne et neuropathie ulnaire droite) n'étaient pas invalidantes et n'avaient pas à être prises en considération. Compte tenu d'un revenu hypothétique de 68'629 fr. et d'un revenu d'invalide raisonnablement exigible de 48'041 fr., le degré d'invalidité s'élevait à 30 %, ce qui ne permettait pas l'octroi d'une rente.</w:t>
      </w:r>
    </w:p>
    <w:p>
      <w:r>
        <w:rPr>
          <w:b/>
        </w:rPr>
        <w:t>E. 2.2</w:t>
      </w:r>
    </w:p>
    <w:p>
      <w:r>
        <w:t>Le recourant reproche aux premiers juges d'avoir procédé à une constatation manifestement inexacte des faits pertinents consécutive à une mauvaise appréciation des preuves, en ne tenant pas compte de différentes pièces médicales faisant état d'une incapacité de travail de 100 %. Il semble également contester le montant des revenus avec et sans invalidité pris en considération dans le cadre de l'évaluation de son degré d'invalidité, reprochant en particulier aux premiers juges de ne pas s'être fondé sur une activité qu'il était effectivement en mesure d'exercer.</w:t>
      </w:r>
    </w:p>
    <w:p>
      <w:r>
        <w:rPr>
          <w:b/>
        </w:rPr>
        <w:t>E. 2.3.1</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se contentant de renvoyer à des attestations médicales faisant succinctement mention d'une incapacité de travail de 100 % (certificats des docteurs T.________ du 9 juin 2011 et S.________ du 28 juin 2011), le recourant n'établit nullement, au moyen d'une argumentation précise et étayée, le caractère insoutenable du raisonnement développé par les premiers juges. Lorsqu'une appréciation repose sur une évaluation médicale complète et approfondie, telle que l'expertise du docteur V.________,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En l'occurrence, le recourant n'expose pas en quoi l'expertise ne satisferait pas aux exigences fixées par le droit fédéral et la jurisprudence en matière de valeur probante d'un tel document ; il ne prétend pas que des éléments cliniques ou diagnostiques essentiels auraient été ignorés et n'explique pas en quoi le point de vue de ses médecins traitants serait, objectivement, mieux fondé que celui de l'expert ou justifierait, à tout le moins, la mise en oeuvre d'une mesure d'instruction complémentaire.</w:t>
      </w:r>
    </w:p>
    <w:p>
      <w:r>
        <w:rPr>
          <w:b/>
        </w:rPr>
        <w:t>E. 2.3.2</w:t>
      </w:r>
    </w:p>
    <w:p>
      <w:r>
        <w:t>De même, au travers des critiques - confuses et difficilement compréhensibles - adressées à l'encontre de la comparaison des revenus effectuée par les premiers juges, le recourant n'explique pas en quoi le raisonnement suivi par les juges serait vicié et insoutenable. Celui-ci se contente de formuler des remarques d'ordre général - identiques pour l'essentiel à celles qu'il avait déjà formulé en procédure cantonale -, impropres toutefois à démontrer en quoi le jugement attaqué reposerait sur une appréciation manifestement inexacte des faits ou sur une application erronée du droit fédéral.</w:t>
      </w:r>
    </w:p>
    <w:p>
      <w:r>
        <w:rPr>
          <w:b/>
        </w:rPr>
        <w:t>E. 3</w:t>
      </w:r>
    </w:p>
    <w:p>
      <w:r>
        <w:t>En tous points mal fondé, le présent recours, dont la motivation se situe à la limite de la recevabilité, doit être rejeté selon la procédure simplifiée de l' art. 109 al. 2 let. a LTF , sans qu'il y ait lieu d'ordonner un échange d'écritures. Compte tenu de l'issue du recours, les frais judiciaires sont mis à la charge du recourant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