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541/2020 vom 1. März 2021</w:t>
      </w:r>
    </w:p>
    <w:p>
      <w:r>
        <w:t>Bundesgericht, 2021-03-01, DE</w:t>
      </w:r>
    </w:p>
    <w:p>
      <w:r>
        <w:rPr>
          <w:b/>
        </w:rPr>
        <w:t xml:space="preserve">Quelle: </w:t>
      </w:r>
      <w:r>
        <w:t>https://mcp.opencaselaw.ch/entscheid/bger_9C_541_2020</w:t>
      </w:r>
    </w:p>
    <w:p>
      <w:r>
        <w:t>FR: TF 9C 541/2020 du 1 mars 2021</w:t>
      </w:r>
    </w:p>
    <w:p>
      <w:r>
        <w:t>IT: TF 9C 541/2020 del 1 marzo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(SVR 2012 IV Nr. 18 S. 81, 9C_418/2010 E. 4.2; Urteil 9C_346/2019 vom 6. September 2019 E. 2.1.1 mit weiteren Hinweisen). Die Herabsetzung oder Aufhebung einer Rente erfolgt frühestens vom ersten Tag des zweiten der Zustellung der Verfügung folgenden Monats an ( Art. 88bis Abs. 2 lit. a IVV [SR 831.201]) resp. rückwirkend ab Eintritt der für den Anspruch erheblichen Änderung, wenn der Bezüger die Leistung zu Unrecht erwirkt hat oder der ihm nach Art. 77 IVV zumutbaren Meldepflicht nicht nachgekommen ist ( Art. 88bis Abs. 2 lit. b IVV , sowohl in der bis Ende 2014 als auch in der seither geltenden Fassung).</w:t>
      </w:r>
    </w:p>
    <w:p>
      <w:r>
        <w:rPr>
          <w:b/>
        </w:rPr>
        <w:t>E. 2.2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S. 145; 134 V 231 E. 5.1 S. 232; 125 V 351 E. 3a S. 352 mit Hinweis).</w:t>
      </w:r>
    </w:p>
    <w:p>
      <w:r>
        <w:rPr>
          <w:b/>
        </w:rPr>
        <w:t>E. 3</w:t>
      </w:r>
    </w:p>
    <w:p>
      <w:r>
        <w:t>Die Vorinstanz hat dem Gutachten der Academy of Swiss Insurance Medicine, Universitätsspital Basel (asim), vom 20. Oktober 2017Beweiskraft beigemessen und gestützt darauf eine uneingeschränkte Arbeitsfähigkeit seit dem 9. Oktober 2013 festgestellt. Weiter hat sie eine - im Vergleich zum Zustand bei der Rentenzusprache im Oktober 2005 - erhebliche Verbesserung des Gesundheitszustandes festgestellt und einen Revisionsgrund im Sinne von Art. 17 Abs. 1 ATSG bejaht. Sodann hat das kantonale Gericht dem Beschwerdeführer vorgeworfen, er habe seine Meldepflicht verletzt, indem er der IV-Stelle verschwiegen habe, dass nunmehr ein psychischer Gesundheitsschaden fehle, was für ihn bereits mit dem Gutachten des Dienstes B.________ vom 9. Oktober 2013 (das die Staatsanwaltschaft des Kantons Bern am 31. Mai 2016 der IV-Stelle zugesandt hatte) erkennbar gewesen sei. Schliesslich hat es die Notwendigkeit von (vorgängig durchzuführenden) Eingliederungsmassnahmen verneint und die rückwirkende Rentenaufhebung auf den 31. Oktober 2013 bestätigt.</w:t>
      </w:r>
    </w:p>
    <w:p>
      <w:r>
        <w:rPr>
          <w:b/>
        </w:rPr>
        <w:t>E. 4.1</w:t>
      </w:r>
    </w:p>
    <w:p>
      <w:r>
        <w:t>Es liegt keine Verletzung des Anspruchs auf rechtliches Gehör resp. der Begründungspflicht vor, wenn eine sachgerechte Anfechtung des vorinstanzlichen Entscheids möglich war (vgl. BGE 142 III 433 E. 4.3.2 S. 436 mit Hinweisen; Urteil 9C_255/2020 vom 13. August 2020 E. 3.1), was hier zutrifft.</w:t>
      </w:r>
    </w:p>
    <w:p>
      <w:r>
        <w:rPr>
          <w:b/>
        </w:rPr>
        <w:t>E. 4.2.1</w:t>
      </w:r>
    </w:p>
    <w:p>
      <w:r>
        <w:t>Der Beschwerdeführer bestreitet zunächst die Beweiskraft des asim-Gutachtens und das Vorliegen eines Revisionsgrundes.</w:t>
      </w:r>
    </w:p>
    <w:p>
      <w:r>
        <w:rPr>
          <w:b/>
        </w:rPr>
        <w:t>E. 4.2.2</w:t>
      </w:r>
    </w:p>
    <w:p>
      <w:r>
        <w:t>Laut verbindlicher (vgl. vorangehende E. 1) vorinstanzlicher Feststellung beruhte die Rentenzusprache vom 27. Oktober 2005 auf dem Gutachten des Zentrums für versicherungsmedizinische Begutachtung ZVMB GmbH (nachfolgend: ZVMB) vom 11. Juli 2005. Darin erhoben die Experten u.a. folgende Befunde: "desolater" Zustand, ausgeprägte Hypomimie, klinisch nur kurzzeitige Aufmerksamkeitsleistungen, unzureichende Orientierung betreffend Zeit, Ort und allgemeine Situation, verwaschener, einsilbiger, verlangsamter monotoner verbaler Ausdruck, Grundstimmung insgesamt verzweifelt, hoffnungslos, abgrundtief traurig und gequält, Hinweise für latente Suizidalität, emotional verarmte, verflachte Reaktion auf explorierte Themen, psychomotorische Hemmung, paranoid-halluzinatorische Phänomene. Sie führten aus, Hinweise für Aggravation oder Simulation hätten nicht gefunden werden können, und die zu erwartende Verdeutlichung habe sich sehr in Grenzen gehalten.</w:t>
      </w:r>
    </w:p>
    <w:p>
      <w:r>
        <w:rPr>
          <w:b/>
        </w:rPr>
        <w:t>E. 4.2.3</w:t>
      </w:r>
    </w:p>
    <w:p>
      <w:r>
        <w:t>Der psychiatrische asim-Gutachter setzte sich einlässlich und nachvollziehbar mit früheren ärztlichen Einschätzungen auseinander. Er legte insbesondere überzeugend dar, weshalb er die Auffassungen des behandelnden (und über keinen Facharzttitel verfügenden) med. pract. C.________ nicht teilte. Eine gesundheitliche Verbesserung erblickte er insbesondere im Umstand, dass der Versicherte seit dem letzten Klinikaufenthalt, der 2016 "wohl" im Zusammenhang mit einem Strafverfahren "geplant" erfolgte, nicht mehr in stationärer Behandlung gewesen war. Zudem ergab seine psychopathologische Befunderhebung weitgehend normale Resultate, die mit jenen des ZVMB-Gutachten s nicht vergleichbar sind. Entgegen der Darstellung des Beschwerdeführers führte er - wie auch die neuropsychologischen Experten - einleuchtend aus, weshalb und inwiefern er bezüglich gewisser Symptome nicht von einer authentischen Präsentation, sondern von fehlender Kooperation und Aggravation resp. "wahrscheinlicher" Simulation ausging. Auch in diesem Zusammenhang gilt es zu berücksichtigen, dass die ärztliche Beurteilung naturgemäss unausweichlich Ermessenszüge trägt ( BGE 137 V 210 E. 3.4.2.3 S. 253; Urteil 9C_397/2015 vom 6. August 2015 E. 5.3).</w:t>
      </w:r>
    </w:p>
    <w:p>
      <w:r>
        <w:rPr>
          <w:b/>
        </w:rPr>
        <w:t>E. 4.2.4</w:t>
      </w:r>
    </w:p>
    <w:p>
      <w:r>
        <w:t>Nach dem Gesagten genügt dass asim-Gutachten sowohl hinsichtlich der erheblichen Sachverhaltsveränderung als auch der Einschätzung der Arbeitsfähigkeit den Anforderungen an die Beweiskraft (vgl. vorangehende E. 2.2). Diese wird auch nicht durch die nachträglichen Ausführungen des med. pract. C.________ (etwa im Bericht vom 28. April 2019) erschüttert (vgl. BGE 125 V 351 E. 3b/bb und cc       S. 353). Die entsprechende vorinstanzliche Beweiswürdigung und Sachverhaltsfeststellung sind nicht offensichtlich unrichtig und bleiben für das Bundesgericht verbindlich (vgl. vorangehende E. 1). Ohnehin beschränkt sich der Beschwerdeführer auf weiten Strecken darauf, die medizinischen Unterlagen abweichend von der Vorinstanz zu würdigen und daraus andere Schlüsse zu ziehen, was indessen nicht genügt ( BGE 145 I 26 E. 1.3 S. 30; Urteil 9C_517/2019 vom 4. November 2019 E. 3.5; vgl. auch vorangehende E. 1).</w:t>
      </w:r>
    </w:p>
    <w:p>
      <w:r>
        <w:rPr>
          <w:b/>
        </w:rPr>
        <w:t>E. 4.3.1</w:t>
      </w:r>
    </w:p>
    <w:p>
      <w:r>
        <w:t>Weiter stellt der Beschwerdeführer eine (schuldhafte) Verletzung der Meldepflicht in Abrede und hält deswegen die rückwirkende Rentenaufhebung für unzulässig.</w:t>
      </w:r>
    </w:p>
    <w:p>
      <w:r>
        <w:rPr>
          <w:b/>
        </w:rPr>
        <w:t>E. 4.3.2</w:t>
      </w:r>
    </w:p>
    <w:p>
      <w:r>
        <w:t>Ausgangspunkt für den Zeitpunkt der Rentenaufhebung ist      Art. 88bis Abs. 2 IVV. Danach ist entscheidend, ob der Versicherte die Leistungen zu Unrecht erwirkte oder die ihm nach Art. 77 IVV obliegende Meldepflicht verletzte (vorangehende E. 2. 1). Das kantonale Gericht ist - wie die IV-Stelle - nicht von einer ursprünglich rechtswidrigen Rentenzusprache ausgegangen. Folglich fällt eine unrechtmässige Erwirkung der Leistung durch den Versicherten von vornherein ausser Betracht.</w:t>
      </w:r>
    </w:p>
    <w:p>
      <w:r>
        <w:rPr>
          <w:b/>
        </w:rPr>
        <w:t>E. 4.3.3</w:t>
      </w:r>
    </w:p>
    <w:p>
      <w:r>
        <w:t>Zwar betrifft die Meldepflicht nach dem Wortlaut von Art. 77 IVV explizit auch eine "wesentliche Änderung des Gesundheitszustandes". Diese Bestimmung kann jedoch - auch mit Blick auf Art. 31 Abs. 1 ATSG - in guten Treuen nicht so verstanden werden, dass bei unterschiedlicher Auffassung über den Gesundheitszustand die versicherte Person verpflichtet wäre, das von ihr bestrittene Ergebnis der Begutachtung im Sinne einer Meldung an die Verwaltung vorwegzunehmen. Dies gilt jedenfalls, soweit keine Anhaltspunkte bestehen für eine Ausschöpfung der hinzugewonnenen Arbeitsfähigkeit oder für ausserhäusliche Aktivitäten, die mit dem geltend gemachten Leiden schlichtweg unvereinbar sind (Urteile 9C_561/2018 vom 8. Februar 2019 E. 5.4.3; 9C_582/2015 vom 9. März 2016 E. 3.3; 9C_343/2012 vom 11. Oktober 2012 E. 4.6). In Bezug auf die - mit einer Strafdrohung verbundene ( Art. 70 IVG in Verbindung mit Art. 87 Abs. 1 und 6 AHVG ) - Meldepflichtverletzung ist kein Strafverfahren aktenkundig. Im Fall des Urteils 9C_582/2015 vom 9. März 2016 E. 3.3 ging das Bundesgericht aufgrund einer Observierung davon aus, dass der Betroffene entgegen seinen Angaben in der Lage gewesen war, verschiedene ausserhäusliche Aktivitäten (Pneus mit einem Gewicht von 15 kg ausladen, abstellen und tragen, ein schweres Motorrad fahren) ohne sichtbare Einschränkung zu bewältigen. Hier dagegen sind (jedenfalls für den Zeitraum ab Kenntnis des FPD-Gutachtens vom 9. Oktober 2013) keine solchen Aktivitäten dokumentiert. Anders als die IV-Stelle anzunehmen scheint, war der Versicherte auch nicht verpflichtet, ihr jedes (auch von ihm für unzutreffend gehaltene) medizinische Dokument einzureichen. Die IV-Stelle selber - resp. deren Regionaler Ärztlicher Dienst - erachtete denn auch das Gutachten des Dienstes B.________ nicht als zuverlässige Grundlage für die Beurteilung des gesundheitlichen Zustands resp. der Arbeitsfähigkeit, was Anlass gab für die Begutachtung durch die asim. Zwar hatte der Beschwerdeführer das G utachten des Dienstes B.________ resp. das darin festgehaltene Fehlen eines Gesundheitsschadens verschwiegen, weil er sich davon Vorteile finanzieller Art und in Bezug auf ein Strafverfahren erhofft hatte, wie die Vorinstanz verbindlich (vorangehende E. 1) festgestellt hat. Das allein genügt indessen nicht für den Vorwurf einer schuldhaften Meldepflichtverletzung. Nach dem Gesagten durfte die Rente nicht rückwirkend, sondern erst ex nunc et pro futuro, d.h. (grundsätzlich; vgl. sogleich E. 4.4) auf Ende September 2019 aufgehoben werden.</w:t>
      </w:r>
    </w:p>
    <w:p>
      <w:r>
        <w:rPr>
          <w:b/>
        </w:rPr>
        <w:t>E. 4.4.1</w:t>
      </w:r>
    </w:p>
    <w:p>
      <w:r>
        <w:t>Schliesslich wehrt sich der Beschwerdeführer gegen die Rentenaufhebung ohne vorherige Durchführung von Eingliederungsmassnahmen.</w:t>
      </w:r>
    </w:p>
    <w:p>
      <w:r>
        <w:rPr>
          <w:b/>
        </w:rPr>
        <w:t>E. 4.4.2</w:t>
      </w:r>
    </w:p>
    <w:p>
      <w:r>
        <w:t>Bei Versicherten,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Leistungspotenzial auf dem Weg der Selbsteingliederung erwerblich zu verwerten ( BGE 145 V 209 E. 5.1 S. 211 mit zahlreichen Hinweisen und E. 6 S. 214 f.; Urteile 9C_574/2019 vom 16. Oktober 2019 E. 3.1 mit Hinweisen und 9C_183/2015 vom 19. August 2015 E. 5, in: SVR 2015 IV Nr. 41       S. 139). Fehlt der Eingliederungswille bzw. die subjektive Eingliederungsfähigkeit, d.h. ist die Eingliederungsbereitschaft aus invaliditätsfremden Gründen nicht gegeben,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resp. gestellten Anträge (Urteile 9C_50/2020 vom 9. Juli 2020 E. 3.1; 9C_797/2018 vom       10. September 2019 E. 5.1, je mit Hinweisen).</w:t>
      </w:r>
    </w:p>
    <w:p>
      <w:r>
        <w:rPr>
          <w:b/>
        </w:rPr>
        <w:t>E. 4.4.3</w:t>
      </w:r>
    </w:p>
    <w:p>
      <w:r>
        <w:t>Entgegen der Auffassung der IV-Stelle ist mit Blick auf den hier (grundsätzlich) massgebenden Zeitpunkt der Rentenaufhebung (vgl. vorangehende E. 4.3.3) die Rechtsprechung betreffend die Unzumutbarkeit der Selbsteingliederung ( BGE 145 V 209 E. 5.1 S. 211; vgl. vorangehende E. 4.4.2) einschlägig. Die Vorinstanz hat indessen die subjektive Eingliederungsfähigkeit des Versicherten verneint. Diesem Schluss hat sie insbesondere folgende Sachverhaltsfeststellungen zugrunde gelegt: Organisiert durch die Klinik D.________ habe der Versicherte seit Jahren an zwei Morgen pro Woche je 2,5 Stunden in einer Tagesstätte gearbeitet (Papier und Altpapier von Hand zerreissen), wobei er (laut eigenen Angaben) in diesem geschützten Umfeld oder im ersten Arbeitsmarkt mehr (bis 100 %) arbeiten möchte. Aktenkundig seien aber namentlich täuschendes und manipulatives Verhalten resp. entsprechende Tendenzen, und es fehle jeglicher Versuch, die bereits seit Oktober 2013 vorhandene Arbeitsfähigkeit über die Tätigkeit am geschützten Arbeitsplatz hinaus zu verwerten.</w:t>
      </w:r>
    </w:p>
    <w:p>
      <w:r>
        <w:rPr>
          <w:b/>
        </w:rPr>
        <w:t>E. 4.4.4</w:t>
      </w:r>
    </w:p>
    <w:p>
      <w:r>
        <w:t>Dass die soeben wiedergegebenen vorinstanzlichen Feststellungen offensichtlich unrichtig sein sollen, ist nicht ersichtlich und wird auch nicht substanziiert geltend gemacht. Auf die blosse appellatorische Kritik und abweichende Darstellung des Beschwerdeführers in diesem Zusammenhang ist nicht weiter einzugehen (vgl. vorangehende E. 4.2.4 in fine). Damit bleibt auch die vorinstanzliche Feststellung der fehlenden Eingliederungsbereitschaft (im Zeitpunkt der Rentenaufhebung) verbindlich (vorangehende E. 1). Dass das kantonale Gericht unter den gegebenen Umständen die Durchführung beruflicher Massnahmen vor der Rentenaufhebung für verzichtbar gehalten hat, stellt keine Bundesrechtsverletzung dar.</w:t>
      </w:r>
    </w:p>
    <w:p>
      <w:r>
        <w:rPr>
          <w:b/>
        </w:rPr>
        <w:t>E. 4.5</w:t>
      </w:r>
    </w:p>
    <w:p>
      <w:r>
        <w:t>Nach dem Gesagten ist die Beschwerde insoweit begründet, als die Rente nicht rückwirkend, sondern auf Ende September 2019 aufzuheben ist (vgl. vorangehende E. 4.3.3).</w:t>
      </w:r>
    </w:p>
    <w:p>
      <w:r>
        <w:rPr>
          <w:b/>
        </w:rPr>
        <w:t>E. 5</w:t>
      </w:r>
    </w:p>
    <w:p>
      <w:r>
        <w:t>Die Gerichtskosten sind entsprechend dem Ausmass des Obsiegens und Unterliegens aufzuteilen ( Art. 66 Abs. 1 BGG ). Der teilweise obsiegende Beschwerdeführer hat Anspruch auf eine reduzierte Parteientschädigung ( Art. 68 Abs. 1 und 2 BGG ). Soweit dadurch nicht gegenstandslos geworden, kann seinem Gesuch um unentgeltliche Rechtspflege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