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9C_540/2021 vom 26. Oktober 2021</w:t>
      </w:r>
    </w:p>
    <w:p>
      <w:r>
        <w:t>Bundesgericht, 2021-10-26, DE</w:t>
      </w:r>
    </w:p>
    <w:p>
      <w:r>
        <w:rPr>
          <w:b/>
        </w:rPr>
        <w:t xml:space="preserve">Quelle: </w:t>
      </w:r>
      <w:r>
        <w:t>https://mcp.opencaselaw.ch/entscheid/bger_9C_540_2021</w:t>
      </w:r>
    </w:p>
    <w:p>
      <w:r>
        <w:t>FR: TF 9C_540/2021 du 26 octobre 2021</w:t>
      </w:r>
    </w:p>
    <w:p>
      <w:r>
        <w:t>IT: TF 9C_540/2021 del 26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9C_540/2021</w:t>
      </w:r>
    </w:p>
    <w:p>
      <w:r>
        <w:t>Urteil vom 26. Oktober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Progrès Versicherungen AG,</w:t>
      </w:r>
    </w:p>
    <w:p>
      <w:r>
        <w:t>Zürichstrasse 130, 8600 Dübendorf, vertreten durch Helsana Versicherungen AG, Debitorenmanagement FDI6, Postfach, 8000 Zürich,</w:t>
      </w:r>
    </w:p>
    <w:p>
      <w:r>
        <w:t>Beschwerdegegnerin.</w:t>
      </w:r>
    </w:p>
    <w:p>
      <w:r>
        <w:t>Gegenstand</w:t>
      </w:r>
    </w:p>
    <w:p>
      <w:r>
        <w:t>Krankenversicherung (Prozessvoraussetzung),</w:t>
      </w:r>
    </w:p>
    <w:p>
      <w:r>
        <w:t>Beschwerde gegen das Urteil</w:t>
      </w:r>
    </w:p>
    <w:p>
      <w:r>
        <w:t>des Kantonsgerichts Basel-Landschaft vom 2. September 2021 (730 21 114 / 233).</w:t>
      </w:r>
    </w:p>
    <w:p>
      <w:r>
        <w:t>Nach Einsicht</w:t>
      </w:r>
    </w:p>
    <w:p>
      <w:r>
        <w:t>in die Beschwerde vom 11. Oktober 2021 (Poststempel) gegen das Urteil des Kantonsgerichts Basel-Landschaft vom 2. September 2021,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das kantonale Gericht insbesondere feststellte, die strittige Forderung in der Höhe von Fr. 943.90 [recte: Fr. 943.95] mit Referenznummer 2'411'754/ACKS sei in der Schuldner-Information vom 29. März 2021 angegeben; darüber sei am 29. Januar 2013 ein Verlustschein Nr. 21301127 ausgestellt worden,</w:t>
      </w:r>
    </w:p>
    <w:p>
      <w:r>
        <w:t>dass der Beschwerdeführer nichts vorbringt, was darauf hindeutete, dass und inwiefern die vorinstanzlichen Sachverhaltsfeststellungen im Sinne von Art. 97 Abs. 1 BGG unzutreffend und die darauf beruhenden Erwägungen rechtsfehlerhaft sein sollten,</w:t>
      </w:r>
    </w:p>
    <w:p>
      <w:r>
        <w:t>dass die Beschwerde zudem keinen rechtsgenüglichen Antrag enthält,</w:t>
      </w:r>
    </w:p>
    <w:p>
      <w:r>
        <w:t>dass sie damit insgesamt den inhaltlichen Mindestanforderungen gemäss Art. 42 Abs. 1 und 2 BGG nicht genügt,</w:t>
      </w:r>
    </w:p>
    <w:p>
      <w:r>
        <w:t>dass deshalb im vereinfachten Verfahren nach Art. 108 Abs. 1 lit. b BGG darauf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 und dem Bundesamt für Gesundheit schriftlich mitgeteilt.</w:t>
      </w:r>
    </w:p>
    <w:p>
      <w:r>
        <w:t>Luzern, 26. Oktober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