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9C_540/2020 vom 18. Februar 2021</w:t>
      </w:r>
    </w:p>
    <w:p>
      <w:r>
        <w:t>Bundesgericht, 2021-02-18, DE</w:t>
      </w:r>
    </w:p>
    <w:p>
      <w:r>
        <w:rPr>
          <w:b/>
        </w:rPr>
        <w:t xml:space="preserve">Quelle: </w:t>
      </w:r>
      <w:r>
        <w:t>https://mcp.opencaselaw.ch/entscheid/bger_9C_540_2020</w:t>
      </w:r>
    </w:p>
    <w:p>
      <w:r>
        <w:t>FR: TF 9C_540/2020 du 18 février 2021</w:t>
      </w:r>
    </w:p>
    <w:p>
      <w:r>
        <w:t>IT: TF 9C_540/2020 del 18 febbraio 2021</w:t>
      </w:r>
    </w:p>
    <w:p>
      <w:pPr>
        <w:pStyle w:val="Heading2"/>
      </w:pPr>
      <w:r>
        <w:t>Erwägungen</w:t>
      </w:r>
    </w:p>
    <w:p>
      <w:r>
        <w:rPr>
          <w:b/>
        </w:rPr>
        <w:t>E. 1.1</w:t>
      </w:r>
    </w:p>
    <w:p>
      <w:r>
        <w:t>Trotz der Formulierung von Antrag Ziff. 1 als Feststellungsantrag stellt der Beschwerdeführer damit sinngemäss ein (zulässiges) Leistungsbegehren. Der Antrag Ziff. 3 zielt auf den Rentenanspruch. Damit wird kein selbstständiger Anspruch auf Eingliederungsmassnahmen geltend gemacht (vgl. nachfolgende E. 4.6); ein solcher war denn auch nicht Gegenstand der Verfügung vom 21. August 2019 und des angefochtenen Entscheids (vgl. BGE 131 V 164 E. 2.1 S. 164; 125 V 413 E. 1 S. 414 f.).</w:t>
      </w:r>
    </w:p>
    <w:p>
      <w:r>
        <w:rPr>
          <w:b/>
        </w:rPr>
        <w:t>E. 1.2</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w:t>
      </w:r>
    </w:p>
    <w:p>
      <w:r>
        <w:t>Die neu eingereichte Stellungnahme des Dr. med. D.________ (Facharzt für Rheumatologie und Allgemeine Innere Medizin) vom 3. September 2020 ist als echtes Novum von vornherein unzulässig. Gleiches gilt für die entsprechenden Ausführungen in der Beschwerde.</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Im angefochtenen Entscheid werden die Grundlagen für den Anspruch auf eine Invalidenrente ( Art. 28 IVG und Art. 7 f. ATSG [SR 830.1]) zutreffend dargelegt; darauf wird verwiesen. Zu ergänzen ist Folgendes:</w:t>
      </w:r>
    </w:p>
    <w:p>
      <w:r>
        <w:rPr>
          <w:b/>
        </w:rPr>
        <w:t>E. 2.2</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(SVR 2012 IV Nr. 18 S. 81, 9C_418/2010 E. 4.2; Urteil 9C_346/2019 vom 6. September 2019 E. 2.1.1 mit weiteren Hinweisen). Liegt in diesem Sinne ein Revisionsgrund vor, ist - in einem zweiten Schritt - der Rentenanspruch in rechtlicher und tatsächlicher Hinsicht umfassend ("allseitig") zu prüfen, wobei keine Bindung an frühere Beurteilungen besteht ( BGE 141 V 9 E. 2.3 S. 11; Urteil 9C_626/2019 vom 26. November 2019 E. 2).</w:t>
      </w:r>
    </w:p>
    <w:p>
      <w:r>
        <w:rPr>
          <w:b/>
        </w:rPr>
        <w:t>E. 2.3</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140 V 193 E. 3.2 S. 145; 134 V 231 E. 5.1 S. 232; 125 V 351 E. 3a S. 352 mit Hinweis).</w:t>
      </w:r>
    </w:p>
    <w:p>
      <w:r>
        <w:t>Geht es um psychische Erkrankungen wie eine anhaltende somatoforme Schmerzstörung, ein damit vergleichbares psychosomatisches Leiden (vgl. BGE 140 V 8 E. 2.2.1.3 S. 13 f.) oder depressive Störungen leicht- bis mittelgradiger Natur ( BGE 143 V 409 und 418), sind für die Beurteilung der Arbeitsfähigkeit systematisierte Indikatoren (Beweisthemen, Indizien) beachtlich, die - unter Berücksichtigung leistungshindernder äusserer Belastungsfaktoren einerseits und Kompensationspotentialen (Ressourcen) anderseits - erlauben, das tatsächlich erreichbare Leistungsvermögen einzuschätzen ( BGE 141 V 281 E. 2 S. 285 ff., E. 3.4-3.6 und 4.1 S. 291 ff.).</w:t>
      </w:r>
    </w:p>
    <w:p>
      <w:r>
        <w:rPr>
          <w:b/>
        </w:rPr>
        <w:t>E. 2.4</w:t>
      </w:r>
    </w:p>
    <w:p>
      <w:r>
        <w:t>Bei den gerichtlichen Feststellungen zum Gesundheitszustand und zur Arbeitsfähigkeit handelt es sich grundsätzlich um Tatfragen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8C_673/2016 vom 10. Januar 2017 E. 3.2 und 9C_899/2017 vom 9. Mai 2018 E. 2.1). Gleiches gilt für die Frage, ob und in welchem Umfang die Feststellungen in einem medizinischen Gutachten anhand der rechtserheblichen Indikatoren auf Arbeitsunfähigkeit schliessen lassen ( BGE 141 V 281 E. 7 S. 308 f.; Urteil 9C_504/2018 vom 3. Dezember 2018 E. 1.2).</w:t>
      </w:r>
    </w:p>
    <w:p>
      <w:r>
        <w:rPr>
          <w:b/>
        </w:rPr>
        <w:t>E. 3</w:t>
      </w:r>
    </w:p>
    <w:p>
      <w:r>
        <w:t>Die Vorinstanz hat gestützt auf das bidisziplinäre Gutachten der Dres. med. B.________ und C.________ vom 26. Mai 2014, den Bericht der BEFAS vom 4. Mai 2018 und die Stellungnahmen des Regionalen Ärztlichen Dienstes (RAD) eine uneingeschränkte Arbeitsfähigkeit für angepasste Tätigkeiten festgestellt. Einen Anspruch auf vorgängige Eingliederungsmassnahmen hat sie verneint, weil der Versicherte sich offenkundig weigere, an solchen teilzunehmen. Folglich hat sie die rentenaufhebende Verfügung vom 21. August 2019 bestätigt.</w:t>
      </w:r>
    </w:p>
    <w:p>
      <w:r>
        <w:rPr>
          <w:b/>
        </w:rPr>
        <w:t>E. 4.1</w:t>
      </w:r>
    </w:p>
    <w:p>
      <w:r>
        <w:t>Die IV-Stelle war in der angefochtenen Verfügung mit Blick auf Art. 17 Abs. 1 ATSG (vgl. vorangehende E. 2.2) und unter Verweis auf das bidisziplinäre Gutachten der Dres. med. B.________ und C.________ davon ausgegangen, dass sich der Gesundheitszustand des Versicherten verbessert habe und die Arbeitsfähigkeit aus psychiatrischer Sicht nicht mehr eingeschränkt sei. Wie bereits im vorinstanzlichen Verfahren bestreitet der Beschwerdeführer die Voraussetzungen für eine revisionsweise Rentenaufhebung. Die Vorinstanz hat sich dazu mit keinem Wort geäussert.</w:t>
      </w:r>
    </w:p>
    <w:p>
      <w:r>
        <w:rPr>
          <w:b/>
        </w:rPr>
        <w:t>E. 4.2</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Dabei braucht es sich nicht um eine formelle Verfügung ( Art. 49 ATSG ) zu handeln ( BGE 133 V 108 E. 5.4 S. 114; Urteile 9C_23/2019 vom 10. Mai 2019 E. 4.2.2; 9C_800/2016 vom 9. Mai 2017 E. 4.2.2).</w:t>
      </w:r>
    </w:p>
    <w:p>
      <w:r>
        <w:t>Einer neuen ärztlichen Einschätzung, die sich nicht hinreichend darüber ausspricht, inwiefern im Vergleich zur früheren Beurteilung eine effektive Veränderung des Gesundheitszustands eingetreten ist, kommt für die Belange der Rentenrevision - unter Vorbehalt evidenter Sachlagen - kein genügender Beweiswert zu (SVR 2012 IV Nr. 18 S. 81, 9C_418/2010 E. 4.2; Urteil 8C_845/2018 vom 17. Mai 2019 E. 2.2). Die objektive Beweislast für das Vorliegen eines Revisionsgrundes liegt bei der IV-Stelle (Urteil 9C_561/2018 vom 8. Februar 2019 E. 3 mit Hinweis auf Art. 8 ZGB ; BGE 138 V 218 E. 6 S. 222).</w:t>
      </w:r>
    </w:p>
    <w:p>
      <w:r>
        <w:rPr>
          <w:b/>
        </w:rPr>
        <w:t>E. 4.3</w:t>
      </w:r>
    </w:p>
    <w:p>
      <w:r>
        <w:t>Die Verwaltung erkannte im Umstand, dass der Versicherte sich Ende Januar 2017 einer Operation unterzogen hatte, eine (vorübergehend; vgl. dazu Art. 88a IVV [SR 831.201]) fehlende Arbeitsfähigkeit. Daraus schloss sie zutreffend, dass die Voraussetzungen für eine Rentenrevision nach Art. 17 ATSG bei Erlass der Verfügung vom 3. Februar 2017 nicht erfüllt waren, weshalb sie diese wiedererwägungsweise (vgl. Art. 53 Abs. 2 ATSG ) aufhob. Auch wenn sie mit der Verfügung vom 8. Februar 2017 den weiterhin bestehenden Anspruch auf eine ganze Invalidenrente bestätigte, beendete sie damit nicht das 2012 eingeleitete Revisionsverfahren, vielmehr nahm sie dieses umgehend wieder auf und führte es weiter (vgl. zur Auslegung von Verfügungen BGE 141 V 255 E. 1.2 S. 257; 132 V 74 E. 2 S. 76; Urteil 9C_777/2019 vom 24. November 2020 E. 5.2.1).</w:t>
      </w:r>
    </w:p>
    <w:p>
      <w:r>
        <w:t>Somit ist im Hinblick auf Art. 17 ATSG der Sachverhalt im Zeitpunkt der verfügten Rentenaufhebung mit jenem bei Zusprache der ganzen Invalidenrente zu vergleichen. Entscheidend ist, ob sich daraus eine Verbesserung des Gesundheitszustandes und damit der Arbeitsfähigkeit in dem Mass ergibt, dass sich dadurch der Invaliditätsgrad von 100 % auf weniger als 70 % reduziert hätte (vgl. vorangehende E. 2.2).</w:t>
      </w:r>
    </w:p>
    <w:p>
      <w:r>
        <w:rPr>
          <w:b/>
        </w:rPr>
        <w:t>E. 4.4.1</w:t>
      </w:r>
    </w:p>
    <w:p>
      <w:r>
        <w:t>Die Zusprache der ganzen Invalidenrente ab dem 1. Januar 2004 beruhte auf dem polydisziplinären Gutachten der MEDAS Zentralschweiz vom 21. Februar 2003 und den Berichten des Dr. med. E.________ vom 5. Februar 2004, des Dr. med. F.________ vom 6. April 2004 sowie des Dr. med. G.________ (Facharzt für Psychiatrie und Psychotherapie) und der lic. phil. H.________ vom 21. September 2004, wobei die IV-Stelle infolge Verschlechterung des psychischen Gesundheitszustandes auf eine Rentenerhöhung erkannte. Dr. med. C.________ setzte sich in seinem Teilgutachten vom 26. Mai 2014 mit den Einschätzungen des MEDAS-Psychiaters und des Dr. med. G.________ auseinander. Er konnte aber keine erhebliche Veränderung der dokumentierten Befundlage darlegen; vielmehr kritisierte er die früheren ärztlichen Einschätzungen. Aus dem blossen Umstand, dass der Versicherte keine Psychotherapie mehr wahrnehme und "seit etwa 2007" keine depressive Episode mehr nachweisbar sei, ist eine revisionsrechtlich relevante Sachverhaltsveränderung (vgl. vorangehende E. 4.3 in fine) nicht nachvollziehbar dargelegt. Auch aus den psychiatrischen Ausführungen im BEFAS-Bericht vom 4. Mai 2018 ist keine solche ersichtlich.</w:t>
      </w:r>
    </w:p>
    <w:p>
      <w:r>
        <w:rPr>
          <w:b/>
        </w:rPr>
        <w:t>E. 4.4.2</w:t>
      </w:r>
    </w:p>
    <w:p>
      <w:r>
        <w:t>Sowohl Dr. med. C.________ als auch der BEFAS-Psychiater diagnostizierten eine chronische Schmerzstörung mit somatischen und psychischen Faktoren (ICD-10: F54.41). Ihre Ausführungen und Einschätzungen überzeugen aber nicht hinsichtlich der in diesem Zusammenhang attestierten uneingeschränkten Arbeitsfähigkeit, zumal der Zeitpunkt der verfügten Rentenaufhebung massgeblich ist. Dr. med. C.________ verneinte eine Einschränkung unter Hinweis auf die "Förster-Kriterien", wobei die diesbezügliche Rechtsprechung von BGE 130 V 352 E. 2.2.3 S. 354 f. mit dem als BGE 141 V 281 publizierten Urteil 9C_492/2014 vom 3. Juni 2015 überholt wurde. Insbesondere wird aber weder in seinem Gutachten noch im BEFAS-Bericht einleuchtend dargelegt, inwieweit hinsichtlich "diskrepanter" Angaben des Beschwerdeführers (blosse) Verdeutlichung oder (einen gewissen Schweregrad des Schmerzleidens ausschliessende) Aggravation vorlag. Zu berücksichtigen ist dabei insbesondere, dass sich der Versicherte am 25. August 2015, am 31. Januar 2017 sowie am 12. Dezember 2019 (welcher Zeitpunkt einem Rückschluss auf den massgeblichen Prüfungszeitraum nicht per se entgegensteht) operativen Eingriffen unterzog, was bezüglich Schmerzen auf einen gewissen Leidensdruck schliessen lässt. Zudem begab sich der Versicherte in - auch Psychotherapie beinhaltende - schmerzmedizinische Behandlung; im diesbezüglichen Bericht des Spital s I.________ vom 31. August 2019 wurde neben der Schmerzproblematik eine mittelgradig ausgeprägte depressive Symptomatik festgestellt und lediglich "zu Beginn" für zwei bis drei Stunden täglich die Teilnahme an einem beruflichen Integrationsprogramm für zumutbar erachtet. Zwar trifft zu, dass eine psychiatrische (fachärztliche) Behandlung nicht aktenkundig ist. Indessen entbehrt der vorinstanzliche Schluss, dass deswegen keine mittelgradig depressive Symptomatik vorliegen könne, einer Grundlage, weshalb er unhaltbar ist (vgl. vorangehende E. 1.3). Auch mit Blick auf weitere Indikatoren wie z.B. persönliche Ressourcen, sozialer Kontext oder gleichmässig eingeschränktes Aktivitätenniveau (vgl. den Überblick in BGE 141 V 281 E. 4.1.3 S. 297 f.) begründen die Angaben der psychiatrischen Experten nicht die Annahme einer uneingeschränkten Arbeitsfähigkeit.</w:t>
      </w:r>
    </w:p>
    <w:p>
      <w:r>
        <w:t>Was die somatischen Aspekte anbelangt, so wurde im Bericht des Spital s I.________ vom 7. November 2019 die Indikation für eine operative Versorgung bei progredienter segmentaler Degeneration C5/6 und C6/7 und passendem radikulärem Reizmuster bejaht. In diesem Sinn fällt eine Verschlechterung im Vergleich zum Zustand bei der BEFAS-Untersuchung in Betracht. Die weiteren Vorbringen des Beschwerdeführers zu Beschwerden im Rücken-, Becken- und Fussbereich erschöpfen sich in appellatorischer Kritik an der vorinstanzlichen Beweiswü rdigung, worauf nicht weiter einzugehen ist.</w:t>
      </w:r>
    </w:p>
    <w:p>
      <w:r>
        <w:rPr>
          <w:b/>
        </w:rPr>
        <w:t>E. 4.5</w:t>
      </w:r>
    </w:p>
    <w:p>
      <w:r>
        <w:t>Nach dem Gesagten genügen das Gutachten der Dres. med. B.________ und C.________ und der BEFAS-Bericht den Anforderungen an die Beweiskraft (vgl. vorangehende E. 2.3 und 4.2) weder hinsichtlich des Gesundheitszustands und der Arbeitsfähigkeit im Zeitpunkt der verfügten Rentenaufhebung (vgl. E. 4.4.2) noch in Bezug auf eine Sachverhaltsveränderung im Sinne von Art. 17 ATSG (vgl. E. 4.4.1). Gleiches gilt für die Stellungnahmen des RAD (vgl. Art. 59 Abs. 2bis IVG und Art. 49 Abs. 1 IVV ). An der darauf beruhenden vorinstanzlichen Feststellung betreffend die Arbeitsfähigkeit kann nicht festgehalten werden (vgl. vorangehende E. 1.3). Die aktenkundigen anderen medizinischen Unterlagen lassen indessen auch keine zuverlässige Sachverhaltsfeststellung zu. Die IV-Stelle wird weitere Abklärungen zu treffen und erneut über die Rentenaufhebung zu verfügen haben.</w:t>
      </w:r>
    </w:p>
    <w:p>
      <w:r>
        <w:rPr>
          <w:b/>
        </w:rPr>
        <w:t>E. 4.6.1</w:t>
      </w:r>
    </w:p>
    <w:p>
      <w:r>
        <w:t>Sodann versucht der Beschwerdeführer unter Berufung auf rechtsmissbräuchliches Verhalten der IV-Stelle und Eingliederungsmassnahmen die sofortige Weiterausrichtung der Rente zu erwirken. Daraus lässt sich jedoch nichts zu seinen Gunsten ableiten, wie sich aus dem Folgenden ergibt.</w:t>
      </w:r>
    </w:p>
    <w:p>
      <w:r>
        <w:rPr>
          <w:b/>
        </w:rPr>
        <w:t>E. 4.6.2</w:t>
      </w:r>
    </w:p>
    <w:p>
      <w:r>
        <w:t>In der Invalidenversicherung erfolgt die Herabsetzung oder Aufhebung einer Rente in der Regel auf das Ende des der Zustellung der Verfügung folgenden Monats (Art. 88</w:t>
      </w:r>
    </w:p>
    <w:p>
      <w:r>
        <w:t>bis Abs. 2 lit. a IVV). Massgeblich ist jene Verwaltungsverfügung, mit welcher die Herabsetzung oder Aufhebung erstmals verfügt wurde. Muss infolge eines Rückweisungsentscheides eine neue Verfügung erlassen werden, kann damit die ursprüngliche Rentenherabsetzung resp. -aufhebung (samt Wirkungszeitpunkt) rückwirkend bestätigt werden ( BGE 129 V 370 ; 106 V 18 ; SVR 2011 IV Nr. 33 S. 96, 8C_451/2010 E. 3 und 4.4; Urteile 9C_792/2018 vom 25. Januar 2019 E. 2.2; 9C_567/2017 vom 21. November 2017 E. 2.2.3). Vorbehalten bleibt der Fall, dass die IV-Stelle mit dem Erlass der angefochtenen (ersten) Revisionsverfügung, ohne formell hinreichende Abklärung der Revisionsvoraussetzungen, rechtsmissbräuchlich einen möglichst frühen Revisionszeitpunkt provozierte (vgl. BGE 129 V 370 E. 3.2 S. 372 und E. 4.3 S. 376; Urteil 9C_567/2017 vom 21. November 2017 E. 2.2.1 mit Hinweis).</w:t>
      </w:r>
    </w:p>
    <w:p>
      <w:r>
        <w:t>Auch wenn in concreto weitere Abklärungen angezeigt sind (vgl. vorangehende E. 4.5), kann entgegen der Auffassung des Beschwerdeführers nur schon angesichts der Dauer des Revisionsverfahrens, aber auch hinsichtlich der erfolgten Untersuchungen nicht gesagt werden, die Verwaltung habe missbräuchlich einen möglichst frühen Revisionszeitpunkt provoziert.</w:t>
      </w:r>
    </w:p>
    <w:p>
      <w:r>
        <w:rPr>
          <w:b/>
        </w:rPr>
        <w:t>E. 4.6.3</w:t>
      </w:r>
    </w:p>
    <w:p>
      <w:r>
        <w:t>Nach der Aufforderung, seine Bereitschaft zu beruflichen Massnahmen zu erklären (vgl. Sachverhalt lit. A), ersuchte der Versicherte unter Hinweis auf ausstehende medizinische Berichte um Fristerstreckung, was die IV-Stelle in der angefochtenen Verfügung vom 21. August 2019 ablehnte. Indessen hätte er im Verwaltungsverfahren ohne Weiteres ein (grundsätzliches) Interesse an einer solchen Massnahme bekunden können, was er aber auch nicht ansatzweise (beispielsweise unter Vorbehalt der medizinischen Zumutbarkeit) machte. Die vorinstanzliche Feststellung, dass sich der Beschwerdeführer offensichtlich geweigert habe, an Wiedereingliederungsmassnahmen teilzunehmen, bleibt unbestritten und für das Bundesgericht verbindlich (vgl. vorangehende E. 1.3). Damit ist (zumindest im Zeitpunkt der verfügten Rentenaufhebung) von fehlendem Eingliederungswillen auszugehen. In dieser Situation war die vorgängige Durchführung von (grundsätzlich angezeigten) Eingliederungsmassnahmen keine Voraussetzung für die Rentenaufhebung.</w:t>
      </w:r>
    </w:p>
    <w:p>
      <w:r>
        <w:rPr>
          <w:b/>
        </w:rPr>
        <w:t>E. 5</w:t>
      </w:r>
    </w:p>
    <w:p>
      <w:r>
        <w:t>Hinsichtlich der Prozesskosten gilt die Rückweisung der Sache zu neuem Entscheid praxisgemäss als volles Obsiegen (vgl. statt vieler: Urteil 9C_279/2019 vom 1. Juli 2019 E. 3 mit Hinweisen). Dementsprechend hat die Beschwerdegegnerin die Gerichtskosten zu tragen ( Art. 66 Abs. 1 BGG ).</w:t>
      </w:r>
    </w:p>
    <w:p>
      <w:r>
        <w:t>Der Beschwerdeführer hat Anspruch auf eine Parteientschädigung ( Art. 68 Abs. 1 und 2 BGG ). Diese umfasst (a) die Anwaltskosten und (b) die allfälligen weiteren Kosten, die durch den Rechtsstreit verursacht werden (Art. 1 des Reglements vom 31. März 2006 über die Parteientschädigung und die Entschädigung für die amtliche Vertretung im Verfahren vor dem Bundesgericht [SR 173.110.210.3; nachfolgend: Entschädigungsreglement]). Mit Antrag Ziff. 4 verlangt der Beschwerdeführer laut Beschwerdebegründung die Entschädigung der Kosten für die in diesem Verfahren eingereichte ärztliche Stellungnahme. Diese ist unzulässig (vgl. vorangehende E. 1.2), weshalb diesbezüglich ein (zusätzlicher) Anspruch im Sinne von Art. 1 lit. b Entschädigungsreglement von vornherein ausscheidet.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