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540/2011 vom 15. März 2012</w:t>
      </w:r>
    </w:p>
    <w:p>
      <w:r>
        <w:t>Bundesgericht, 2012-03-15, FR</w:t>
      </w:r>
    </w:p>
    <w:p>
      <w:r>
        <w:rPr>
          <w:b/>
        </w:rPr>
        <w:t xml:space="preserve">Quelle: </w:t>
      </w:r>
      <w:r>
        <w:t>https://mcp.opencaselaw.ch/entscheid/bger_9C_540_2011</w:t>
      </w:r>
    </w:p>
    <w:p>
      <w:r>
        <w:t>FR: TF 9C 540/2011 du 15 mars 2012</w:t>
      </w:r>
    </w:p>
    <w:p>
      <w:r>
        <w:t>IT: TF 9C 540/2011 del 15 marzo 2012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Selon les constatations de la juridiction cantonale, qui ne sont pas contestées par les parties et qui lient par voie de conséquence le Tribunal fédéral, la recourante dispose, d'un point de vue médical, d'une capacité de travail pleine et entière dans une activité adaptée à ses limitations fonctionnelles (sans port de charges de manière itérative de plus de 10 kilos, sans maintien de longues positions assise ou debout immobile, ne nécessitant pas la flexion antérieure prolongée du tronc ou des activités en porte-à-faux ou en zone basse), étant admis que la nature des activités qu'elle exerçait auparavant dans le domaine de la brocante n'est pas compatible avec lesdites limitations. Est litigieuse la question de savoir s'il existe des activités exigibles qui s'accordent avec son mode de vie semi-nomade et ses facultés intellectuelles et professionnelles.</w:t>
      </w:r>
    </w:p>
    <w:p>
      <w:r>
        <w:rPr>
          <w:b/>
        </w:rPr>
        <w:t>E. 2.1</w:t>
      </w:r>
    </w:p>
    <w:p>
      <w:r>
        <w:t>La juridiction cantonale a considéré que les principes valables en matière d'évaluation de l'invalidité étaient applicables à toute personne vivant en Suisse qui requérait l'octroi de prestations de l'assurance-invalidité. La loi permettait notamment aux familles, comme celle de la recourante qui est nomade, d'obtenir des prestations d'invalidité, dans l'hypothèse où l'un de ses membres devenait invalide. Par ailleurs, l' art. 16 LPGA n'avait pas pour objectif de sédentariser les assurés appartenant à la communauté des gens du voyage ou de remettre en question leur mode de vie. Exiger de la recourante qu'elle exerce une activité légère adaptée à ses limitations fonctionnelles n'était dès lors pas incompatible avec son mode de vie nomade et n'exigeait pas d'elle qu'elle se sédentarise. En ce sens, la recourante n'était pas traitée différemment des autres citoyens suisses, qui étaient également dans l'obligation de se reconvertir professionnellement pour mettre pleinement en valeur leur capacité résiduelle de travail, conformément à l'obligation de réduire le dommage résultant de l'invalidité. Par conséquent, la recourante ne faisait pas l'objet d'une discrimination directe ou indirecte par le biais de l'application de l' art. 16 LPGA . C'est ainsi à bon droit que l'office AI s'était fondé sur les données économiques statistiques pour déterminer le revenu d'invalide.</w:t>
      </w:r>
    </w:p>
    <w:p>
      <w:r>
        <w:rPr>
          <w:b/>
        </w:rPr>
        <w:t>E. 2.2</w:t>
      </w:r>
    </w:p>
    <w:p>
      <w:r>
        <w:t>La recourante reproche à la juridiction cantonale d'avoir violé le droit fédéral, en considérant qu'il existait des activités exigibles de sa part. Les activités envisagées ou identifiées comme exigibles au cours de la procédure seraient en effet incompatibles avec le mode de vie traditionnel nomade des gens du voyage. Elles exigeraient qu'elle se sédentarise et renonce à son mode de vie traditionnel et à sa famille (à moins que sa famille ne se sédentarise et renonce elle aussi à son mode de vie), ce qui entraînerait incontestablement une atteinte grave à ses droits constitutionnels à la protection de son mode de vie ( art. 13 Cst. et 8 CEDH) et de sa vie de famille ( art. 13 Cst. et 8 CEDH), et au principe de la non-discrimination ( art. 8 Cst. et 14 CEDH). De plus, la juridiction cantonale aurait omis de tenir compte dans son analyse du fait qu'elle souffrait également, en plus de limitations fonctionnelles importantes, d'une absence de formation, d'une intelligence diminuée et de déficiences notables et handicapantes en français lu et écrit.</w:t>
      </w:r>
    </w:p>
    <w:p>
      <w:r>
        <w:rPr>
          <w:b/>
        </w:rPr>
        <w:t>E. 3.1</w:t>
      </w:r>
    </w:p>
    <w:p>
      <w:r>
        <w:t>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ch.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(arrêt 9C_236/2009 du 7 octobre 2009 consid. 4.4.1).</w:t>
      </w:r>
    </w:p>
    <w:p>
      <w:r>
        <w:rPr>
          <w:b/>
        </w:rPr>
        <w:t>E. 3.2</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des assurances I 750/04 du 5 avril 2006 consid. 5.3, in SVR 2007 IV n° 1 p. 1 ; I 11/00 du 22 août 2001 consid. 5a/bb, in VSI 2001 p. 274).</w:t>
      </w:r>
    </w:p>
    <w:p>
      <w:r>
        <w:rPr>
          <w:b/>
        </w:rPr>
        <w:t>E. 3.3</w:t>
      </w:r>
    </w:p>
    <w:p>
      <w:r>
        <w:t>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 ATF 113 V 22 consid. 4d p. 32, confirmé par ATF 134 I 105 consid. 8.2 p. 111; MARC HÜRZELER, Prävention im Haftpflicht- und Sozialversicherungsrecht, in Prävention im Recht, 2007, p. 172 s.).</w:t>
      </w:r>
    </w:p>
    <w:p>
      <w:r>
        <w:rPr>
          <w:b/>
        </w:rPr>
        <w:t>E. 4</w:t>
      </w:r>
    </w:p>
    <w:p>
      <w:r>
        <w:t>Les gens du voyage suisses (appelés également Tziganes) forment une communauté estimée à 30'000 personnes. Si la grande majorité d'entre eux mène aujourd'hui un mode de vie sédentaire, une frange importante de ce groupe continue d'avoir un mode de vie qui peut être caractérisé de semi-nomade. La tradition d'itinérance (ou nomadisme) reste et demeure une composante essentielle de l'identité culturelle tzigane, intrinsèquement liée à l'exercice de leurs différentes activités professionnelles. Traditionnellement, les gens du voyage exercent des métiers dans les domaines de la récupération (achat d'antiquités, recyclage, collecte de vieux métal, etc.), du commerce forain et de l'artisanat ambulant (aiguisage, vannerie, rétamage, etc.), quand bien même leur champ d'activité ne saurait se limiter à ces seuls domaines (Office fédéral de la culture, Les gens du voyage en Suisse, http://www.bak.admin.ch, sous Création culturelle, Gens du voyage; JOËLLE SAMBUC BLOISE, La situation juridique des Tziganes en Suisse, 2007, p. 67).</w:t>
      </w:r>
    </w:p>
    <w:p>
      <w:r>
        <w:rPr>
          <w:b/>
        </w:rPr>
        <w:t>E. 5</w:t>
      </w:r>
    </w:p>
    <w:p>
      <w:r>
        <w:t>Eu égard à la nature des griefs portés par la recourante devant le Tribunal fédéral, il convient d'examiner, à titre général, si et dans quelle mesure les membres de la communauté des gens du voyage bénéficient, en vertu du droit fédéral et international, d'une protection particulière en raison de leurs spécificités ethno-culturelles.</w:t>
      </w:r>
    </w:p>
    <w:p>
      <w:r>
        <w:rPr>
          <w:b/>
        </w:rPr>
        <w:t>E. 5.1</w:t>
      </w:r>
    </w:p>
    <w:p>
      <w:r>
        <w:t>D'après l'art. 27 du Pacte international relatif aux droits civils et politiques, conclu à New York le du 16 décembre 1966 et entré en vigueur pour la Suisse le 18 septembre 1992 (ci-après: Pacte ONU II; RS 0.103.2), dans les Etats où il existe des minorités ethniques, religieuses ou linguistiques, les personnes appartenant à ces minorités ne peuvent être privées du droit d'avoir, en commun avec les autres membres de leur groupe, leur propre vie culturelle, de professer et de pratiquer leur propre religion, ou d'employer leur propre langue. L' art. 27 Pacte ONU II ne consacre aucun droit collectif pour les minorités - ethniques, religieuses ou linguistiques - en tant que groupes, mais uniquement un droit individuel - directement invocable devant les tribunaux suisses -, appartenant aux membres de ces groupes, de voir leurs caractéristiques minoritaires respectées et promues (voir l'Observation générale n° 23 du Comité des droits de l'homme se rapportant au Pacte ONU II, in WALTER KÄLIN/GIORGIO MALINVERNI/MANFRED NOWAK, La Suisse et les Pactes des Nations Unies relatifs aux droits de l'homme, 2e éd. 1997, p. 550 ; voir également GIORGIO MALINVERNI, La Suisse et la protection des minorités [ art. 27 Pacte ONU II ], in WALTER KÄLIN/GIORGIO MALINVERNI/MANFRED NOWAK, op. cit., p. 233 ss). Considérant que les champs d'application de ces deux normes étaient identiques et leur restriction admissible aux mêmes conditions, le Tribunal fédéral a toutefois jugé que l'art. 27 Pacte II n'offrait pas de garanties plus étendues que la protection de la vie privée et familiale consacrée à l' art. 8 CEDH , en tant que cette disposition protège le mode de vie tzigane ( ATF 129 II 321 consid. 3.4 p. 329; arrêt critiqué par SAMBUC BLOISE, op. cit., p. 216).</w:t>
      </w:r>
    </w:p>
    <w:p>
      <w:r>
        <w:rPr>
          <w:b/>
        </w:rPr>
        <w:t>E. 5.2</w:t>
      </w:r>
    </w:p>
    <w:p>
      <w:r>
        <w:t>En adhérant à la Convention-cadre du 1er février 1995 pour la protection des minorités nationales (RS 0.441.1), la Suisse s'est engagée d'une part à garantir à toute personne appartenant à une minorité nationale le droit à l'égalité devant la loi et à une égale protection de la loi et à interdire toute discrimination fondée sur l'appartenance à une minorité nationale (art. 4 par. 1). Elle s'est engagée d'autre part à promouvoir les conditions propres à permettre aux personnes appartenant à des minorités nationales de conserver et développer leur culture, ainsi que de préserver les éléments essentiels de leur identité que sont leur religion, leur langue, leurs traditions et leur patrimoine culturel (art. 5 par. 1). A l'occasion de la ratification de cette Convention-cadre, la Suisse a fait la déclaration suivante : La Suisse déclare que constituent en Suisse des minorités nationales au sens de la présente Convention-cadre les groupes de personnes qui sont numériquement inférieurs au restant de la population du pays ou d'un canton, sont de nationalité suisse, entretiennent des liens anciens, solides et durables avec la Suisse et sont animés de la volonté de préserver ensemble ce qui fait leur identité commune, notamment leur culture, leurs traditions, leur religion ou leur langue. Dans son message, le Conseil fédéral a, à ce propos, expressément précisé que la Convention-cadre pouvait être appliquée en Suisse aux minorités linguistiques nationales, mais aussi à d'autres groupes minoritaires de la population suisse, comme les membres de la communauté des gens du voyage (Message du 19 novembre 1997 relatif à la Convention-cadre du Conseil de l'Europe pour la protection des minorités nationales, FF 1998 1048 ch. 22; voir également le Rapport initial du gouvernement suisse sur la mise en oeuvre de la Convention-cadre pour la protection des minorités nationales, établi en 2001 à l'intention du Conseil de l'Europe, http://www.dfae.admin.ch/eda/fr/home/topics/eu/euroc/coeusw/coswtr.html). Toutefois, la Convention ne contient pas de disposition directement applicable, mais impose aux Etats membres l'adoption de mesures, notamment législatives, visant à protéger l'existence des minorités nationales (voir également GIORGIO MALINVERNI, La Convention-cadre du Conseil de l'Europe pour la protection des minorités nationales, in RSDIE 1995 p. 531; Avis de droit de l'Office fédéral de la justice du 27 mars 2002 concernant le statut juridique des gens du voyage en Suisse eu égard à leur qualité de minorité nationale reconnue, JAAC 2002 n° 50 p. 578).</w:t>
      </w:r>
    </w:p>
    <w:p>
      <w:r>
        <w:rPr>
          <w:b/>
        </w:rPr>
        <w:t>E. 5.3</w:t>
      </w:r>
    </w:p>
    <w:p>
      <w:r>
        <w:t>Contrairement au Pacte ONU II, le texte de la Convention de sauvegarde des droits de l'homme et des libertés fondamentales du 4 novembre 1950 (CEDH; RS 0.101) ne contient aucune norme garantissant explicitement les droits des minorités. Dans sa pratique, la Cour européenne des droits de l'homme a admis qu'il appartenait aux autorités de prendre en considération l'appartenance à une minorité ethnique ou à un groupe menant un mode de vie distinct de celui de la population majoritaire. En effet, un consensus international se faisait jour au sein des Etats membres du Conseil de l'Europe pour reconnaître les besoins particuliers des minorités et l'obligation de protéger leur sécurité, leur identité et leur mode de vie, et ce non seulement dans le but de protéger les intérêts des minorités elles-mêmes mais aussi pour préserver la diversité culturelle qui est bénéfique à la société dans son ensemble (arrêts Chapman contre Royaume-Uni du 18 janvier 2001, Recueil CourEDH 2001-I p. 91 §§ 93 et 94). Même si l'appartenance à une minorité ne dispensait pas de respecter les lois destinées à protéger le bien commun, la Cour a considéré que l' art. 8 CEDH conférait aux membres d'une minorité le droit à ce que les autorités prennent en considération leurs besoins spécifiques en raison de leur vulnérabilité en tant que membres de cette minorité, tant dans le cadre réglementaire que lors de la prise de décision dans un cas particulier (arrêts Chapman précité, § 96; Connors contre Royaume-Uni du 27 mai 2004, no 66746/01, § 84; D. H. et autres contre République Tchèque du 13 novembre 2007, n° 57325/00, § 181).</w:t>
      </w:r>
    </w:p>
    <w:p>
      <w:r>
        <w:rPr>
          <w:b/>
        </w:rPr>
        <w:t>E. 5.4</w:t>
      </w:r>
    </w:p>
    <w:p>
      <w:r>
        <w:t>D'après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différenciation inadmissible. Les inégalités qui résultent d'une telle distinction doivent dès lors faire l'objet d'une justification particulière ( ATF 137 V 334 consid. 6.2.1 p. 348; 135 I 49 consid. 4.1 p. 53). La notion de "mode de vie" vise plus particulièrement les groupes de personnes qui, par leur comportement ou leur forme de vie distincts, possèdent une identité propre; cette notion inclut à n'en pas douter la communauté des gens du voyage (ANDREAS RIEDER, Indirekte Diskriminierung - das Beispiel der Fahrenden, in WALTER KÄLIN, Das Verbot ethnisch-kultureller Diskriminierung, 1999, p. 164; BERNHARD PULVER, L'interdiction de la discrimination, 2003, p. 269). On précisera toutefois que le droit à la protection de son mode de vie présente un lien étroit avec le droit au respect de la vie privée et la liberté personnelle, consacrés respectivement aux art. 13 et 10 Cst. En tout état de cause, on ne saurait déduire de ces différentes libertés individuelles un droit quelconque à des prestations positives de l'Etat, notamment en matière d'assurance sociale; il appartient bien plutôt au législateur de définir les modalités d'un tel droit (ULRICH HÄFELIN/WALTER HALLER/HELEN KELLER, Schweizerisches Bundesstaatsrecht, 7e éd. 2008, p. 68 n. 213; sur l'ensemble de la question, voir également arrêt I 750/04 du 5 avril 2006 consid. 4.3 et les références, SVR 2007 IV n° 1 p. 1).</w:t>
      </w:r>
    </w:p>
    <w:p>
      <w:r>
        <w:rPr>
          <w:b/>
        </w:rPr>
        <w:t>E. 5.5</w:t>
      </w:r>
    </w:p>
    <w:p>
      <w:r>
        <w:t>L' 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 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(PULVER, op. cit., p. 153; RIEDER, op. cit., p. 161).</w:t>
      </w:r>
    </w:p>
    <w:p>
      <w:r>
        <w:rPr>
          <w:b/>
        </w:rPr>
        <w:t>E. 6.1</w:t>
      </w:r>
    </w:p>
    <w:p>
      <w:r>
        <w:t>Que ce soit en vertu des engagements pris sur le plan international ou en vertu de la protection offerte par les droits fondamentaux garantis par le droit fédéral, la Suisse reconnaît aujourd'hui le statut de minorité nationale à la communauté suisse des gens du voyage et s'est engagée à permettre à ce groupe de préserver les éléments essentiels de son identité ethno-culturelle. S'il n'est pas le lieu de tracer dans le cas particulier le contour précis de toutes les obligations que cela implique, on peut toutefois affirmer qu'il appartient aux autorités, lorsqu'elles appliquent le droit, de prendre en considération les spécificités et les particularités du mode de vie traditionnel de la communauté tzigane, parmi lesquelles figurent notamment la tradition de l'itinérance.</w:t>
      </w:r>
    </w:p>
    <w:p>
      <w:r>
        <w:rPr>
          <w:b/>
        </w:rPr>
        <w:t>E. 6.2</w:t>
      </w:r>
    </w:p>
    <w:p>
      <w:r>
        <w:t>Lorsqu'il y a lieu de définir, dans le cadre de l'évaluation du degré d'invalidité, le revenu qu'une personne appartenant à la communauté des gens du voyage et perpétuant la tradition d'itinérance de ce groupe serait capable de réaliser, il ne peut être fait abstraction des particularités intrinsèques de ce mode de vie. Comme on l'a vu, la vie nomade implique des déplacements continuels et réguliers d'un lieu à un autre, ce qui réduit de façon conséquente le champ des activités salariées envisageables (cf. supra consid. 4). Compte tenu de ces spécificités, le recours aux données économiques statistiques, telles qu'elles résultent de l'Enquête suisse sur la structure des salaires - généralement applicables lorsque la personne assurée n'a pas repris d'activité lucrative après la survenance de l'atteinte à la santé ( ATF 129 V 472 consid. 4.2.1 p. 475) -, singulièrement le revenu auquel peuvent prétendre les femmes effectuant des activités simples et répétitives (niveau 4 de qualification), n'apparaît pas approprié à la situation des membres de la communauté des gens du voyage. En effet, les valeurs issues des données économiques statistiques tiennent compte de l'ensemble des branches économiques en Suisse (à l'exception de l'agriculture), dont la majeure partie exige une vie sédentaire et n'est pas conciliable avec le mode de vie tzigane. Eu égard à la protection accordée à ce mode de vie traditionnel par le droit fédéral et international (cf. supra consid. 5), il n'est pas admissible de considérer comme exigible l'exercice d'une activité salariée qui supposerait la sédentarisation de la personne assurée, la rupture avec sa famille et son mode de vie traditionnel, et, plus largement, un déracinement culturel (voir également arrêt du Tribunal fédéral des assurances I 224/99 du 5 mai 2000 consid. 3c). Il y a par conséquent lieu de constater que le recours aux données économiques statistiques pour évaluer le revenu d'invalide d'une personne appartenant à la communauté des gens du voyage, en tant qu'il contribue à assimiler une personne de ce groupe à la majorité de la population, aboutit indirectement à une discrimination importante, contraire aux droits fondamentaux.</w:t>
      </w:r>
    </w:p>
    <w:p>
      <w:r>
        <w:rPr>
          <w:b/>
        </w:rPr>
        <w:t>E. 6.3</w:t>
      </w:r>
    </w:p>
    <w:p>
      <w:r>
        <w:t>Compte tenu de ce qui précède, il s'avère que l'évaluation du degré d'invalidité opérée par l'office intimé repose sur des bases erronées. Cela étant, on ne saurait prétendre en l'état qu'il n'existe aucune activité exigible en regard des limitations fonctionnelles de la recourante et de son mode de vie traditionnel. Dans ces conditions, il convient de renvoyer la cause à l'office intimé afin qu'il examine concrètement si et dans quelle mesure la recourante est en mesure de tirer profit de sa capacité de travail dans une activité adaptée à ses limitations fonctionnelles et à ses aptitudes intellectuelles et professionnelles, et compatible avec le mode de vie traditionnel de la communauté des gens du voyage. Il lui appartiendra notamment d'examiner si et dans quelle mesure la recourante pourrait mettre en oeuvre sa capacité résiduelle de travail pendant les quatre mois durant lesquels elle réside de manière continue à X.________ (cf. arrêt I 750/04 du 5 avril 2006 consid. 5.4 et les références, in SVR 2007 IV n° 1 p. 1).</w:t>
      </w:r>
    </w:p>
    <w:p>
      <w:r>
        <w:rPr>
          <w:b/>
        </w:rPr>
        <w:t>E. 7</w:t>
      </w:r>
    </w:p>
    <w:p>
      <w:r>
        <w:t>Le recours se révèle bien fondé. Vu l'issue du litige, les frais de justice seront supportés par l'office intimé qui succombe ( art. 66 al. 1 LTF ). Celui-ci versera par ailleurs une indemnité de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