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539/2014 vom 18. Dezember 2014</w:t>
      </w:r>
    </w:p>
    <w:p>
      <w:r>
        <w:t>Bundesgericht, 2014-12-18, DE</w:t>
      </w:r>
    </w:p>
    <w:p>
      <w:r>
        <w:rPr>
          <w:b/>
        </w:rPr>
        <w:t xml:space="preserve">Quelle: </w:t>
      </w:r>
      <w:r>
        <w:t>https://mcp.opencaselaw.ch/entscheid/bger_9C_539_2014</w:t>
      </w:r>
    </w:p>
    <w:p>
      <w:r>
        <w:t>FR: TF 9C 539/2014 du 18 décembre 2014</w:t>
      </w:r>
    </w:p>
    <w:p>
      <w:r>
        <w:t>IT: TF 9C 539/2014 del 18 dicembre 2014</w:t>
      </w:r>
    </w:p>
    <w:p>
      <w:pPr>
        <w:pStyle w:val="Heading2"/>
      </w:pPr>
      <w:r>
        <w:t>Regeste</w:t>
      </w:r>
    </w:p>
    <w:p>
      <w:r>
        <w:t>Ergänzungsleistung zur AHV/IV (Rückerstattung) | Ergänzungsleistung</w:t>
      </w:r>
    </w:p>
    <w:p>
      <w:pPr>
        <w:pStyle w:val="Heading2"/>
      </w:pPr>
      <w:r>
        <w:t>Erwägungen</w:t>
      </w:r>
    </w:p>
    <w:p>
      <w:r>
        <w:rPr>
          <w:b/>
        </w:rPr>
        <w:t>E. 1</w:t>
      </w:r>
    </w:p>
    <w:p>
      <w:r>
        <w:t>Auf den in der Beschwerdeantwort gestellten Antrag des Beschwerdegegners, der angefochtene Entscheid sei abzulehnen, ist nicht einzutreten, weil das Bundesgerichtsgesetz die Anschlussbeschwerde nicht vorsieht ( Art. 90 ff. BGG ; BGE 134 III 332 E. 2.5 S. 335; MEYER/DORMANN, in: Basler Kommentar zum BGG, Basel 2011, N. 4 zu Art. 102 BGG ). Das Bundesgericht darf nicht über die Begehren der Parteien hinausgehen ( Art. 107 Abs. 1 BGG ), wobei Ausgangspunkt der Bindungswirkung das Rechtsbegehren der beschwerdeführenden Partei, nicht jenes des Beschwerdegegners ist ( MEYER/DORMANN, a.a.O., N. 2 zu Art. 107 BGG ). Dessen Vorbringen sind im Rahmen der Prüfung der Anträge der Beschwerdeführerin zu berücksichtigen.</w:t>
      </w:r>
    </w:p>
    <w:p>
      <w:r>
        <w:rPr>
          <w:b/>
        </w:rPr>
        <w:t>E. 2.1</w:t>
      </w:r>
    </w:p>
    <w:p>
      <w:r>
        <w:t>Der Einspracheentscheid tritt an die Stelle der Verfügung. Er ist alleiniger Anfechtungsgegenstand des erstinstanzlichen Beschwerdeverfahrens. Die Verfügung, soweit angefochten, hat mit Erlass des Einspracheentscheides jede rechtliche Bedeutung verloren ( BGE 131 V 407 E. 2.1.2.1 S. 412, 130 V 424 E. 1.1 S. 425; RKUV 2001 Nr. U 419 S. 101 E. 2c, U 170/00; SVR 2005 AHV Nr. 9 S. 30 E. 1.1.3, H 53/04; Urteil U 407/06 vom 3. September 2007 E. 4.3.1 mit Hinweis). Da die begriffliche Unterscheidung von Streit- und Anfechtungsgegenstand auf der Ebene von Rechtsverhältnissen erfolgt, gehören die nicht beanstandeten Rechtsverhältnisse zwar wohl zum Anfechtungs-, nicht aber zum Streitgegenstand. Sache der Vorinstanz blieb es indessen, in concreto aufgrund der Offizialmaxime unter Berücksichtigung des materiellrechtlichen Kontextes, des massgeblichen Einspracheentscheids und der, in Anbetracht der Beschwerde, konkreten Verfahrenslage zu entscheiden, was den zu beurteilenden Streitgegenstand bildet ( BGE 125 V 413 E. 2a S. 415, 119 V 347 E. 1b S. 350 mit Hinweisen).</w:t>
      </w:r>
    </w:p>
    <w:p>
      <w:r>
        <w:rPr>
          <w:b/>
        </w:rPr>
        <w:t>E. 2.2</w:t>
      </w:r>
    </w:p>
    <w:p>
      <w:r>
        <w:t>Die Vorinstanz hat die EL-Rückforderung zu Recht als Ganzes, d.h. von Januar 2009 bis April 2013 überprüft. Die Beschwerdeführerin rügt, in Bezug auf den Zeitraum von Januar 2009 bis März 2012 sei der Sachverhalt offensichtlich unrichtig festgestellt worden. Es sei in der Verfügung vom 18. April 2013 sehr wohl angegeben worden, weshalb Ergänzungsleistungen im Gesamtbetrag von Fr. 1'158.- zu Unrecht ausgerichtet worden seien. Die Rückforderung sei begründet durch die Erhöhung der Pensionskassenrente, was mangels einer Meldung des Versicherten erst bei der periodischen Überprüfung festgestellt worden sei. Da der Beschwerdegegner in diesem Punkt nicht Einsprache erhoben habe, sei eine Auseinandersetzung damit im Einspracheentscheid unterblieben.</w:t>
      </w:r>
    </w:p>
    <w:p>
      <w:r>
        <w:rPr>
          <w:b/>
        </w:rPr>
        <w:t>E. 2.3</w:t>
      </w:r>
    </w:p>
    <w:p>
      <w:r>
        <w:t>In der Begründung der Verfügung findet sich tatsächlich die Angabe "Anpassung der Pensionskassenrente ab Januar 2009 (Erhöhung-Meldepflichtverletzung) ". In materieller Hinsicht ist festzustellen, dass die Anpassung - in den Akten ausgewiesen - tatsächlich stattgefunden hat. Das kantonale Gericht hat dies bei der Prüfung irrtümlich übersehen. Die Rückforderung zu viel bezahlter Ergänzungsleistungen in der Höhe von unbestritten Fr. 1'158.- war deshalb gerechtfertigt. Die Beschwerde ist begründet.</w:t>
      </w:r>
    </w:p>
    <w:p>
      <w:r>
        <w:rPr>
          <w:b/>
        </w:rPr>
        <w:t>E. 3</w:t>
      </w:r>
    </w:p>
    <w:p>
      <w:r>
        <w:t>In Anwendung von Art. 66 Abs. 1 zweiter Satz BGG wird auf die Erhebung von Gerichtskosten verzichtet. Obsiegende Behörden und mit öffentlichrechtlichen Aufgaben betraute Organisationen haben grundsätzlich keinen Anspruch auf Parteientschädigung ( Art. 68 Abs. 3 BGG ). Zu den mit öffentlichrechtlichen Aufgaben betrauten Organisationen gehören auch die Ausgleichskassen, weshalb dem Antrag auf Entschädigungsfolgen nicht zu entsprechen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