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9C_538/2009 vom 8. Januar 2010</w:t>
      </w:r>
    </w:p>
    <w:p>
      <w:r>
        <w:t>Bundesgericht, 2010-01-08, FR</w:t>
      </w:r>
    </w:p>
    <w:p>
      <w:r>
        <w:rPr>
          <w:b/>
        </w:rPr>
        <w:t xml:space="preserve">Quelle: </w:t>
      </w:r>
      <w:r>
        <w:t>https://mcp.opencaselaw.ch/entscheid/bger_9C_538_2009</w:t>
      </w:r>
    </w:p>
    <w:p>
      <w:r>
        <w:t>FR: TF 9C_538/2009 du 8 janvier 2010</w:t>
      </w:r>
    </w:p>
    <w:p>
      <w:r>
        <w:t>IT: TF 9C_538/2009 del 8 gennaio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de l'intimé à une rente de l'assurance-invalidité, singulièrement sur le taux d'invalidité à la base de cette prestation.</w:t>
      </w:r>
    </w:p>
    <w:p>
      <w:r>
        <w:rPr>
          <w:b/>
        </w:rPr>
        <w:t>E. 3.1</w:t>
      </w:r>
    </w:p>
    <w:p>
      <w:r>
        <w:t>Se fondant sur l'expertise du docteur F.________, le Tribunal cantonal des assurances sociales a retenu que la capacité de travail de l'intimé était de 60 % dans une activité adaptée avec une diminution de rendement de 80 %. L'avis de ce spécialiste était en effet mieux expliqué et plus convainquant que celui du SMR, lequel ne tenait pas compte, contrairement à l'expertise, des signes de Modic et du score d'Oswestry. L'office AI n'avait par ailleurs pas tenu compte de l'échec connu par l'intimé lors de son stage en entreprise.</w:t>
      </w:r>
    </w:p>
    <w:p>
      <w:r>
        <w:rPr>
          <w:b/>
        </w:rPr>
        <w:t>E. 3.2</w:t>
      </w:r>
    </w:p>
    <w:p>
      <w:r>
        <w:t>L'office recourant reproche au Tribunal cantonal des assurances sociales d'avoir procédé à une constatation manifestement inexacte et incomplète des faits en se fondant sur le rapport d'expertise du docteur F.________, auquel il ne pouvait être reconnu pleine valeur probante, et en s'écartant sans motif du rapport d'examen rhumatologique du SMR. Au regard de la signification et de la portée médicale des signes de Modic et du score d'Oswestry, la juridiction cantonale n'était pas fondée à retenir que la seule présence de ces éléments étaient suffisante pour évaluer la capacité de travail exigible de l'intimé. Le status rhumatologique de l'expertise était excessivement succinct et ne montrait aucun déficit sensitivo-moteur. Enfin, l'expert ne définissait pas de manière précise les limitations fonctionnelles observées à l'examen clinique et ne motivait pas ses conclusions quant à l'aptitude de l'intimé à travailler. D'autre part, les premiers juges auraient omis de statuer sur l'existence d'une éventuelles aggravation de l'état de santé de l'intimé entre l'examen médical du SMR et celui du docteur F.________.</w:t>
      </w:r>
    </w:p>
    <w:p>
      <w:r>
        <w:rPr>
          <w:b/>
        </w:rPr>
        <w:t>E. 3.3</w:t>
      </w:r>
    </w:p>
    <w:p>
      <w:r>
        <w:t>Les griefs invoqués par l'office recourant n'apportent aucun élément concret et sérieux laissant à penser que le Tribunal cantonal des assurances sociales aurait apprécié de manière arbitraire les moyens de preuve dont il disposait. Conformément au principe de la libre appréciation des preuves, les premiers juges ont privilégié un point de vue médical par rapport à un autre. L'office recourant ne parvient pas à établir le caractère insoutenable du raisonnement qui a conduit les premiers juges à retenir les conclusions de l'expertise établie par le docteur F.________, confirmées par l'échec du stage professionnel proposé à l'intimé, et à écarter le point de vue du SMR. En tant que les critiques portent sur la valeur probante de l'expertise, respectivement sur la méthodologie utilisée par l'expert, elles doivent être écartées. Dans les limites du mandat confié, la conduite de l'expertise (modalités de l'examen clinique et choix des examens complémentaires) est laissée au libre arbitre de l'expert. En l'absence de données médicales pertinentes déniant toute valeur scientifique aux protocoles d'évaluation que sont les signes de Modic et le score d'Oswestry, il n'appartient pas au juge de remettre en question le principe de leur utilisation. Pour le reste, il suffit de constater que l'expertise répond en tous points aux réquisits jurisprudentiels en matière de valeur probante des documents médicaux ( ATF 125 V 351 consid. 3a p. 352), de sorte qu'il n'y a pas lieu de s'en écarter. Pour le surplus, on ne trouve pas trace dans le dossier d'un élément objectif qui viendrait confirmer la thèse de l'office recourant selon laquelle l'état de santé de l'intimé se serait aggravé entre l'examen du SMR et l'expertise du docteur F.________.</w:t>
      </w:r>
    </w:p>
    <w:p>
      <w:r>
        <w:rPr>
          <w:b/>
        </w:rPr>
        <w:t>E. 4.1</w:t>
      </w:r>
    </w:p>
    <w:p>
      <w:r>
        <w:t>L'office recourant reproche également au Tribunal cantonal des assurances sociales de n'avoir pas examiné la question de l'exigibilité de mesures de reconditionnement musculaire - préconisées par les docteurs E.________ et F.________ ainsi que par le SMR - et l'impact que celles-ci pouvaient avoir sur la capacité de travail.</w:t>
      </w:r>
    </w:p>
    <w:p>
      <w:r>
        <w:rPr>
          <w:b/>
        </w:rPr>
        <w:t>E. 4.2</w:t>
      </w:r>
    </w:p>
    <w:p>
      <w:r>
        <w:t>En principe, on peut raisonnablement exiger d'un assuré qu'il se soumette à une mesure thérapeutique, qui est susceptible de lui faire retrouver une capacité de travail et de gain importante et lui permette de réintégrer le monde du travail. Cela étant, il appartient à l'office recourant de demander à l'intimé qu'il entreprenne les mesures thérapeutiques préconisées. En cas de refus de sa part, il est alors en droit de mettre en oeuvre la procédure de sommation prévue à l' art. 21 al. 4 LPGA , en vertu de laquelle les prestations peuvent être réduites ou refusées temporairement ou définitivement si l'assuré se soustrait ou s'oppose, dans les limites de ce qui peut être exigé de lui, à un traitement raisonnablement exigible et susceptible d'améliorer notablement sa capacité de travail ou d'offrir une nouvelle capacité de gain (voir également ATF 122 V 218 ).</w:t>
      </w:r>
    </w:p>
    <w:p>
      <w:r>
        <w:rPr>
          <w:b/>
        </w:rPr>
        <w:t>E. 4.3</w:t>
      </w:r>
    </w:p>
    <w:p>
      <w:r>
        <w:t>Il n'en reste pas moins que pour la période écoulée, l'assuré a acquis un droit à un trois quarts de rente de l'assurance-invalidité, qui subsistera aussi longtemps que l'incapacité de gain n'a pas été effectivement supprimée, ou diminuée dans une mesure sensible pour le droit à la rente par des mesures thérapeutiques appropriées, ou jusqu'à ce que, sur la base de la procédure de sommation, on puisse sanctionner le refus d'entreprendre ces mesures.</w:t>
      </w:r>
    </w:p>
    <w:p>
      <w:r>
        <w:rPr>
          <w:b/>
        </w:rPr>
        <w:t>E. 5</w:t>
      </w:r>
    </w:p>
    <w:p>
      <w:r>
        <w:t>Mal fondé, le recours doit être rejeté. Vu l'issue du litige, les frais et les dépens de la procédure sont mis à la charge de l'office recourant (art. 66 al. 1 et 68 al. 1 LTF). Le Tribunal fédéral s'étant prononcé sur le recours, la requête d'effet suspensif présentée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