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9C_535/2019 vom 31. Oktober 2019</w:t>
      </w:r>
    </w:p>
    <w:p>
      <w:r>
        <w:t>Bundesgericht, 2019-10-31, FR</w:t>
      </w:r>
    </w:p>
    <w:p>
      <w:r>
        <w:rPr>
          <w:b/>
        </w:rPr>
        <w:t xml:space="preserve">Quelle: </w:t>
      </w:r>
      <w:r>
        <w:t>https://mcp.opencaselaw.ch/entscheid/bger_9C_535_2019</w:t>
      </w:r>
    </w:p>
    <w:p>
      <w:r>
        <w:t>FR: TF 9C_535/2019 du 31 octobre 2019</w:t>
      </w:r>
    </w:p>
    <w:p>
      <w:r>
        <w:t>IT: TF 9C_535/2019 del 31 ottobre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sur la suppression par la voie de la révision du droit du recourant à une rente entière de l'assurance-invalidité à compter du 1</w:t>
      </w:r>
    </w:p>
    <w:p>
      <w:r>
        <w:t>er juillet 2018. A cet égard, le jugement entrepris expose de manière complète les dispositions légales et les principes jurisprudentiels applicables à la révision d'une rente de l'assurance-invalidité et à la valeur probante des rapports médicaux. Il suffit d'y renvoyer.</w:t>
      </w:r>
    </w:p>
    <w:p>
      <w:r>
        <w:rPr>
          <w:b/>
        </w:rPr>
        <w:t>E. 3.1</w:t>
      </w:r>
    </w:p>
    <w:p>
      <w:r>
        <w:t>Dans un premier grief, le recourant reproche à la juridiction cantonale d'avoir suivi les conclusions du docteur H.________, qui seraient lacunaires, imprécises et totalement insuffisantes pour justifier une révision.</w:t>
      </w:r>
    </w:p>
    <w:p>
      <w:r>
        <w:t>Le simple fait que le docteur H.________ a d'abord indiqué une baisse de rendement de 20 % (avis du 12 mai 2016), puis une baisse de la capacité de travail de 30 % (avis du 22 février 2017), ne suffit nullement à démontrer que l'appréciation qu'a faite la juridiction cantonale des conclusions de ce médecin est manifestement inexacte (c'est-à-dire arbitraire; ATF 143 I 310 consid. 2.2 p. 313 et la référence). Il est vrai que le docteur H.________ n'explique pas dans son avis postérieur du 22 février 2017 pourquoi il ne reprend pas la même limitation que précédemment. Dans la mesure cependant où le médecin motive de façon convaincante la limitation plus importante de la capacité de travail, la juridiction cantonale pouvait se fonder sans arbitraire sur la prise de position la plus récente du docteur H.________. Il n'y a pas lieu de s'écarter des constatations qu'elle en a tirées (consid. 1 supra).</w:t>
      </w:r>
    </w:p>
    <w:p>
      <w:r>
        <w:rPr>
          <w:b/>
        </w:rPr>
        <w:t>E. 3.2</w:t>
      </w:r>
    </w:p>
    <w:p>
      <w:r>
        <w:t>Dans un deuxième moyen, le recourant s'en prend aux conclusions du docteur J.________, en se référant à celles de son psychiatre traitant.</w:t>
      </w:r>
    </w:p>
    <w:p>
      <w:r>
        <w:t>Ce faisant, il se limite à opposer les conclusions de l'expert mandaté par la CNA à celles, divergentes, du docteur D.________, sans référence plus précise aux éléments du dossier que les diagnostics et le degré de la capacité de travail exigible retenus par les psychiatres. Il n'établit dès lors pas, par une argumentation précise et étayée, l'existence de contradictions manifestes ou d'éléments cliniques ou diagnostiques ignorés par l'expert psychiatre, et encore moins n'explique en quoi les conclusions du docteur D.________ seraient objectivement mieux fondées que celles du docteur J.________ ou justifieraient la mise en oeuvre d'une mesure d'instruction complémentaire. Le recourant n'apporte par conséquent aucun élément qui justifierait de s'écarter des conclusions médicales suivies par les premiers juges. Le simple fait que l'expert psychiatre s'est par ailleurs fondé sur un unique entretien, complété par la prise de connaissance du dossier complet de l'assurance-accidents, ne diminue par ailleurs en rien la valeur probante de ses conclusions (arrêts 9C_87/2018 du 5 avril 2018 consid. 3.3; 9C_157/2016 du 4 août 2016 consid. 4.1 et les références). Mal fondé, le grief doit être rejeté.</w:t>
      </w:r>
    </w:p>
    <w:p>
      <w:r>
        <w:rPr>
          <w:b/>
        </w:rPr>
        <w:t>E. 3.3</w:t>
      </w:r>
    </w:p>
    <w:p>
      <w:r>
        <w:t>Pour le surplus, le recourant conteste les considérations des premiers juges selon lesquelles la fixation du taux d'incapacité de travail ne doit pas résulter de la simple addition des taux d'incapacité de travail sur les plans somatique (30 %) et psychique (20 %). En se limitant à affirmer en substance que les constatations respectives des docteurs H.________ et J.________ quant à sa capacité de travail ne se recouvrent pas, il ne parvient cependant pas à démontrer que l'appréciation des preuves opérée par les premiers juges seraient arbitraires ou autrement contraire au droit. Dans ces conditions, les premiers juges pouvaient s'estimer suffisamment renseignés sur les faits pertinents de la cause pour statuer en l'état du dossier et retenir sans arbitraire que le recourant était capable de travailler à 70 % dans une activité adaptée. Cette constatation lie le Tribunal fédéral.</w:t>
      </w:r>
    </w:p>
    <w:p>
      <w:r>
        <w:rPr>
          <w:b/>
        </w:rPr>
        <w:t>E. 4</w:t>
      </w:r>
    </w:p>
    <w:p>
      <w:r>
        <w:t>C'est finalement également en vain que le recourant reproche à la juridiction cantonale de n'avoir pas pris en compte des données salariales cantonales ("échelle des salaires 2018 de l'administration cantonale") pour déterminer son revenu d'invalide au sens de l' art. 16 LPGA . Pour des raisons liées au respect du principe constitutionnel de l'égalité de traitement, le Tribunal fédéral a considéré qu'il n'y avait en effet pas lieu de tenir compte de données salariales régionales, et à plus forte raison cantonales (arrêts 8C_744/2011 du 25 avril 2012 consid. 5.2 et les références, in SVR 2012 UV n° 26 p. 93; voir également arrêts I 820/06 du 4 septembre 2007 consid. 3.3 et U 75/03 du 12 octobre 2006 consid. 8, in SVR 2007 UV n° 17 p. 56). Il n'y a pas lieu de revenir sur cette jurisprudence.</w:t>
      </w:r>
    </w:p>
    <w:p>
      <w:r>
        <w:rPr>
          <w:b/>
        </w:rPr>
        <w:t>E. 5</w:t>
      </w:r>
    </w:p>
    <w:p>
      <w:r>
        <w:t>Mal fondé, le recours doit être rejeté en application de la procédure simplifiée de l' art. 109 al. 2 let. a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