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533/2017 vom 28. Mai 2018</w:t>
      </w:r>
    </w:p>
    <w:p>
      <w:r>
        <w:t>Bundesgericht, 2018-05-28, DE</w:t>
      </w:r>
    </w:p>
    <w:p>
      <w:r>
        <w:rPr>
          <w:b/>
        </w:rPr>
        <w:t xml:space="preserve">Quelle: </w:t>
      </w:r>
      <w:r>
        <w:t>https://mcp.opencaselaw.ch/entscheid/bger_9C_533_2017</w:t>
      </w:r>
    </w:p>
    <w:p>
      <w:r>
        <w:t>FR: TF 9C 533/2017 du 28 mai 2018</w:t>
      </w:r>
    </w:p>
    <w:p>
      <w:r>
        <w:t>IT: TF 9C 533/2017 del 28 maggio 2018</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2.1.1</w:t>
      </w:r>
    </w:p>
    <w:p>
      <w:r>
        <w:t>Nach den zutreffenden Erwägungen im angefochtenen Entscheid werden Invalidenleistungen der obligatorischen beruflichen Vorsorge von derjenigen Vorsorgeeinrichtung geschuldet, bei welcher die ansprechende Person bei Eintritt der Arbeitsunfähigkeit, deren Ursache zur Invalidität geführt hat, versichert war ( Art. 23 lit. a BVG ; BGE 135 V 13 E. 2.6 S. 17). Dieser Grundsatz findet auch in der weitergehenden Vorsorge Anwendung, wenn - wie hier - Reglement oder Statuten resp. gesetzliche Grundlagen nichts anderes vorsehen ( BGE 136 V 65 E. 3.2 S. 69). Für die Bestimmung der Leistungszuständigkeit ist eine erhebliche und dauerhafte Einbusse an funktionellem Leistungsvermögen im bisherigen Beruf oder Aufgabenbereich massgebend. Diese muss mindestens 20 Prozent betragen (SVR 2017 BVG Nr. 25 S. 113, 9C_518/2016 E. 2.1; Urteil 9C_142/2016 vom 9. November 2016 E. 3.1 mit Hinweis).</w:t>
      </w:r>
    </w:p>
    <w:p>
      <w:r>
        <w:rPr>
          <w:b/>
        </w:rPr>
        <w:t>E. 2.1.2</w:t>
      </w:r>
    </w:p>
    <w:p>
      <w:r>
        <w:t>Ebenfalls korrekt führte die Vorinstanz aus, dass der Anspruch auf Invalidenleistungen einen engen sachlichen und zeitlichen Zusammenhang zwischen der während andauerndem Vorsorgeverhältnis (einschliesslich Nachdeckungsfrist nach Art. 10 Abs. 3 BVG ) bestandenen Arbeitsunfähigkeit und der allenfalls erst später eingetretenen Invalidität voraussetzt. Der sachliche Konnex ist gegeben, wenn der Gesundheitsschaden, welcher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 BGE 134 V 20 E. 3.2 und 3.2.1 S. 22). Zu ergänzen ist, dass eine Unterbrechung des zeitlichen Konnexes dann anzunehmen ist, wenn während mehr als dreier Monate eine Arbeitsfähigkeit von über 80 % in einer angepassten Erwerbstätigkeit gegeben ist; eine Arbeitsfähigkeit von 80 % genügt nicht (Urteil 9C_147/2017 vom 20. Februar 2018 E. 4.4 und 4.5, zur Publikation vorgesehen). Eine Reduktion des Arbeitspensums aus gesundheitlichen Gründen ist ein bedeutender Anhaltspunkt für das Vorliegen einer berufsvorsorgerechtlich relevanten Arbeitsunfähigkeit, auch wenn sie allein in der Regel nicht für den Nachweis einer funktionellen Leistungseinbusse genügt (SVR 2017 BVG Nr. 25 S. 113, 9C_518/2016 E. 2.2; Urteil 9C_419/2013 vom 9. Januar 2014 E. 2.3).</w:t>
      </w:r>
    </w:p>
    <w:p>
      <w:r>
        <w:rPr>
          <w:b/>
        </w:rPr>
        <w:t>E. 2.1.3</w:t>
      </w:r>
    </w:p>
    <w:p>
      <w:r>
        <w:t>Den soeben dargelegten Grundsätzen (E. 2.1.1 und 2.1.2) kommt insbesondere die Funktion zu, die Leistungspflicht einer oder mehrerer Vorsorgeeinrichtungen sachgerecht abzugrenzen ( BGE 130 V 270 E. 4.1 S. 275; SVR 2017 BVG Nr. 25 S. 113, 9C_518/2016 E. 3.4).</w:t>
      </w:r>
    </w:p>
    <w:p>
      <w:r>
        <w:rPr>
          <w:b/>
        </w:rPr>
        <w:t>E. 2.2</w:t>
      </w:r>
    </w:p>
    <w:p>
      <w:r>
        <w:t>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 BGE 133 V 67 E. 4.3.2 S. 69; 130 V 270 E. 3.1 S. 273 f.; SVR 2017 BVG Nr. 25 S. 113, 9C_518/2016 E. 2.3).</w:t>
      </w:r>
    </w:p>
    <w:p>
      <w:r>
        <w:rPr>
          <w:b/>
        </w:rPr>
        <w:t>E. 3</w:t>
      </w:r>
    </w:p>
    <w:p>
      <w:r>
        <w:t>Das kantonale Gericht hat ausdrücklich offengelassen, ob die Arbeitsfähigkeit der Beschwerdegegnerin bereits vor ihrer Anstellung beim Kanton Zug am 1. November 2005 wesentlich beeinträchtigt war. Es hat festgestellt, die Beschwerdegegnerin habe vom 1. August 2007 bis zum Herbst 2008 in ihrem Pensum von 80 % eine uneingeschränkte Arbeitsleistung erbracht und weder dem Arbeitgeber noch den behandelnden Ärzten seien (echtzeitlich) Indizien für eine Einschränkung der Arbeitsfähigkeit aufgefallen. Weiter hat es erwogen, die mindestens 80 prozentige Arbeitsfähigkeit im genannten Zeitraum habe den zeitlichen Konnex zu einer allfällig vorbestehenden Arbeitsunfähigkeit unterbrochen. Am 9. Februar 2012 sei die mindestens 40 prozentige Arbeitsunfähigkeit, deren Ursache zur Invalidität geführt habe, eingetreten. Der vorsorgerechtliche Leistungsbeginn sei aber mit dem invalidenversicherungsrechtlichen zu koordinieren. Folglich hat es die Pensionskasse verpflichtet, ab 1. Januar 2013 eine halbe Invalidenrente auszurichten. Streitig und zu prüfen ist einzig, ob die erhebliche Arbeitsunfähigkeit bereits vor Begründung des Versicherungsverhältnisses mit der Pensionskasse (1. November 2005) eintrat und seither ohne wesentlichen Unterbruch andauerte.</w:t>
      </w:r>
    </w:p>
    <w:p>
      <w:r>
        <w:rPr>
          <w:b/>
        </w:rPr>
        <w:t>E. 4.1</w:t>
      </w:r>
    </w:p>
    <w:p>
      <w:r>
        <w:t>Dass die vorinstanzlichen Feststellungen (E. 3) offensichtlich unrichtig sein oder auf einer Rechtsverletzung beruhen sollen, ist nicht ersichtlich und wird auch nicht substanziiert geltend gemacht. Sie bleiben daher für das Bundesgericht verbindlich (E. 1). Indessen reichen sie für eine abschliessende Beurteilung des umstrittenen Anspruchs nicht aus.</w:t>
      </w:r>
    </w:p>
    <w:p>
      <w:r>
        <w:rPr>
          <w:b/>
        </w:rPr>
        <w:t>E. 4.2</w:t>
      </w:r>
    </w:p>
    <w:p>
      <w:r>
        <w:t>Anders als die Vorinstanz anzunehmen scheint, genügt für die Unterbrechung des zeitlichen Zusammenhangs zwischen einer vorbestehenden Arbeitsunfähigkeit von 20 % (oder mehr) und der später eingetretenen Invalidität nicht allein der Umstand, dass die Arbeitsfähigkeit zwischenzeitlich - zwar vorübergehend, aber während längerer Zeit - mindestens 80 % betrug. Notwendig ist eine Arbeitsfähigkeit von über 80 %, wobei angepasste Tätigkeiten zu berücksichtigen sind (E. 2.1.2 Abs. 2).</w:t>
      </w:r>
    </w:p>
    <w:p>
      <w:r>
        <w:rPr>
          <w:b/>
        </w:rPr>
        <w:t>E. 4.3</w:t>
      </w:r>
    </w:p>
    <w:p>
      <w:r>
        <w:t>Die entscheidenden Fragen nach dem Zeitpunkt des Eintritts und dem Verlauf der Arbeitsunfähigkeit, insbesondere mit Blick auf den Grenzwert von 20 %, waren für die Beurteilungen des Rentenanspruchs gegenüber der Invalidenversicherung nicht entscheidend, weshalb die Verfügungen vom 31. Januar 2008 und 9. Januar 2014 - soweit sie überhaupt entsprechende Feststellungen enthalten - diesbezüglich keine Bindungswirkung entfalten (E. 2.2; vgl. auch Urteile 9C_464/2015 vom 31. Mai 2016 E. 2.4.2; 9C_896/2015 vom 16. Dezember 2016 E. 4.2). Der angefochtene Entscheid enthält für den Zeitraum bis zum 9. Februar 2012 keine Feststellungen zu den ausschlaggebenden Punkten.</w:t>
      </w:r>
    </w:p>
    <w:p>
      <w:r>
        <w:rPr>
          <w:b/>
        </w:rPr>
        <w:t>E. 4.4</w:t>
      </w:r>
    </w:p>
    <w:p>
      <w:r>
        <w:t>Das kantonale Gericht wird die notwendigen Feststellungen zu treffen und anschliessend erneut über die Leistungspflicht der Pensionskasse, eventualiter der Auffangeinrichtung, zu entscheiden haben.</w:t>
      </w:r>
    </w:p>
    <w:p>
      <w:r>
        <w:rPr>
          <w:b/>
        </w:rPr>
        <w:t>E. 5</w:t>
      </w:r>
    </w:p>
    <w:p>
      <w:r>
        <w:t>Dem Ausgang des Verfahrens entsprechend hat die Beschwerdegegnerin grundsätzlich die Gerichtskosten zu tragen ( Art. 66 Abs. 1 Satz 1 BGG ). Ihrem Gesuch um unentgeltliche Rechtspflege kann jedoch entsprochen werden ( Art. 64 BGG ). Sie hat der Bundesgerichtskasse Ersatz zu leisten, wenn sie später dazu in der Lage ist ( Art. 64 Abs. 4 BGG ). Die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