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9C_533/2014 vom 31. Juli 2014</w:t>
      </w:r>
    </w:p>
    <w:p>
      <w:r>
        <w:t>Bundesgericht, 2014-07-31, DE</w:t>
      </w:r>
    </w:p>
    <w:p>
      <w:r>
        <w:rPr>
          <w:b/>
        </w:rPr>
        <w:t xml:space="preserve">Quelle: </w:t>
      </w:r>
      <w:r>
        <w:t>https://mcp.opencaselaw.ch/entscheid/bger_9C_533_2014</w:t>
      </w:r>
    </w:p>
    <w:p>
      <w:r>
        <w:t>FR: TF 9C_533/2014 du 31 juillet 2014</w:t>
      </w:r>
    </w:p>
    <w:p>
      <w:r>
        <w:t>IT: TF 9C_533/2014 del 31 luglio 2014</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der Auftragsvergabe an die MEDAS am 4. April 2012 seien die neuen Anforderungen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Soweit und solange die Vergabeplattform SuisseMED@P im Zeitpunkt der Auftragserteilung (nach ihrer förmlichen Inbetriebnahme auf den 1. März 2012; vgl. Art. 72bis IVV sowie die einschlägigen Verwaltungsweisungen) noch nicht funktioniert habe, hätten die IV-Stellen das Zufallsprinzip auf andere Weise umsetzen müssen. Daher werde die Sache an die IV-Stelle zurückgewiesen, damit diese nach dem geltenden Verfahren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Ein solcher besteht aus Sicht der Behörde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w:t>
      </w:r>
    </w:p>
    <w:p>
      <w:r>
        <w:t>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Leistungsverweigerung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w:t>
      </w:r>
    </w:p>
    <w:p>
      <w:r>
        <w:t>Zu prüfen bleibt, ob die vorliegende Konstellation damit vergleichbar ist. Bei Erteilung des Begutachtungsauftrags am 4. April 2012 stand zwar die Vergabeplattform SuisseMED@P bereits in Betrieb (vgl. den am 1. März 2012 in Kraft getretenen Art. 72bis IVV ; Kreisschreiben des BSV über das Verfahren in der Invalidenversicherung [KSVI], Anhang V). Die freihändige Vergabe erfolgte indes in einer Übergangssituation; die zufallsgeleitete Vergabe hat sich inzwischen eingespielt. Somit handelt es sich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