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532/2011 vom 7. Mai 2012</w:t>
      </w:r>
    </w:p>
    <w:p>
      <w:r>
        <w:t>Bundesgericht, 2012-05-07, FR</w:t>
      </w:r>
    </w:p>
    <w:p>
      <w:r>
        <w:rPr>
          <w:b/>
        </w:rPr>
        <w:t xml:space="preserve">Quelle: </w:t>
      </w:r>
      <w:r>
        <w:t>https://mcp.opencaselaw.ch/entscheid/bger_9C_532_2011</w:t>
      </w:r>
    </w:p>
    <w:p>
      <w:r>
        <w:t>FR: TF 9C 532/2011 du 7 mai 2012</w:t>
      </w:r>
    </w:p>
    <w:p>
      <w:r>
        <w:t>IT: TF 9C 532/2011 del 7 maggio 2012</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droit de la recourante à des rentes complémentaires pour ses deux enfants à partir du mois de mai 2005 n'est pas contesté. Le litige porte uniquement sur le droit de la recourante au versement de ces prestations avant le 1er mai 2005.</w:t>
      </w:r>
    </w:p>
    <w:p>
      <w:r>
        <w:rPr>
          <w:b/>
        </w:rPr>
        <w:t>E. 3.1</w:t>
      </w:r>
    </w:p>
    <w:p>
      <w:r>
        <w:t>La juridiction cantonale a retenu que l'obligation d'utiliser la formule officielle pour les personnes voulant exercer leur droit aux prestations de l'assurance-invalidité ( art. 65 RAI ) s'appliquait également à l'assuré requérant l'octroi d'une rente complémentaire pour enfant. L'autorité cantonale de recours a constaté que la recourante n'avait communiqué pour la première fois sa volonté de percevoir des rentes complémentaires pour enfant qu'en avril 2010 dans la lettre adressée à l'office AI à cette intention. Selon les premiers juges, avant cette date, l'administration n'avait eu que des indices sur l'état de la situation familiale de la recourante, cette dernière n'ayant signalé qu'«en passant» le fait qu'elle avait un enfant (cf. questionnaire pour la révision de la rente déposé en février 1999), puis deux enfants en remplissant en septembre 2005 le formulaire à propos de l'organisation du ménage. A l'instar de l'office AI, dont ils ont jugé la décision conforme au droit fédéral, les juges cantonaux ont fixé le début du droit aux prestations litigieuses au mois de mai 2005, soit cinq ans avant la remise des actes de naissance des deux enfants par la recourante à la caisse de compensation en mai 2010.</w:t>
      </w:r>
    </w:p>
    <w:p>
      <w:r>
        <w:rPr>
          <w:b/>
        </w:rPr>
        <w:t>E. 3.2</w:t>
      </w:r>
    </w:p>
    <w:p>
      <w:r>
        <w:t>La recourante soutient que l'exigence de la formule officielle ne s'applique pas lorsqu'il s'agit d'annoncer la naissance d'un enfant du bénéficiaire d'une rente d'invalidité; il n'existerait au demeurant aucun formulaire officiel adéquat. Elle relève également que les décisions de l'office AI qui rappellent l'obligation de renseigner à ce sujet ne font état d'aucune forme particulière que devrait revêtir une telle annonce. Elle allègue finalement avoir annoncé correctement les naissances de ses deux enfants, soit le 10 février 1999 pour E.________, respectivement le 22 septembre 2005 pour J.________, lors des procédures de révision, de sorte que le droit au versement rétroactif des rentes devrait être reconnu pour les cinq ans précédant le dépôt des questionnaires, mais au plus tard à la date de la naissance de chaque enfant.</w:t>
      </w:r>
    </w:p>
    <w:p>
      <w:r>
        <w:rPr>
          <w:b/>
        </w:rPr>
        <w:t>E. 4.1</w:t>
      </w:r>
    </w:p>
    <w:p>
      <w:r>
        <w:t>En l'espèce, il n'est pas contesté que la recourante, bénéficiaire d'une rente d'invalidité au moment de la naissance de ses enfants, aurait pu prétendre à une rente pour enfant dès la naissance de ces derniers, soit dès août 1997 pour E.________, et à partir de septembre 1999 pour son fils J.________ ( art. 35 al. 1 et 4 LAI ). Toutefois, on relèvera que de telles prestations ne sont pas versées automatiquement par les organes compétents.</w:t>
      </w:r>
    </w:p>
    <w:p>
      <w:r>
        <w:rPr>
          <w:b/>
        </w:rPr>
        <w:t>E. 4.2</w:t>
      </w:r>
    </w:p>
    <w:p>
      <w:r>
        <w:t>Ainsi, les prestations d'assurance sociale sont en principe servies à la demande de l'ayant droit: celui qui ne s'annonce pas à l'assurance n'obtient pas de prestations, même si le droit à celles-ci découle directement de la loi ( ATF 101 V 261 consid. 2 p. 265). Aussi, l' art. 29 al. 1 LPGA prévoit-il que celui qui fait valoir un droit à des prestations doit s'annoncer à l'assureur compétent, dans la forme prescrite par l'assurance sociale concernée. Selon l' art. 65 RAI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 ATF 121 V 195 consid. 2 p. 196 et les arrêts cités).</w:t>
      </w:r>
    </w:p>
    <w:p>
      <w:r>
        <w:rPr>
          <w:b/>
        </w:rPr>
        <w:t>E. 4.3</w:t>
      </w:r>
    </w:p>
    <w:p>
      <w:r>
        <w:t>L'annonce à l'assureur social permet en principe également de préserver le délai de l' art. 24 al. 1 LPGA (art. 48 al. 1 aLAI dans sa version en vigueur jusqu'au 31 décembre 2007),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 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 ATF 121 V 195 consid. 5d p. 201 s.; arrêt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9C_574/2008 du 27 mars 2009 consid. 2.2).</w:t>
      </w:r>
    </w:p>
    <w:p>
      <w:r>
        <w:rPr>
          <w:b/>
        </w:rPr>
        <w:t>E. 4.4</w:t>
      </w:r>
    </w:p>
    <w:p>
      <w:r>
        <w:t>En l'espèce, contrairement à la motivation retenue par les premiers juges, il n'y avait pas lieu d'examiner si les mentions d'un, puis de deux enfants, faites en 1999 et 2005 par la recourante lors des procédures de révision constituaient des annonces valables au regard du droit de l'assurance-invalidité. En effet, il découle directement de l' art. 24 LPGA et des principes jurisprudentiels exposés ci-dessus que les prestations arriérées de plus de cinq ans depuis la demande de la recourante en 2010 étaient échues; et ce, indépendamment du fait de savoir si l'office AI avait commis une faute, ou contrevenu à son obligation d'instruire ( art. 43 LPGA ), en ne donnant pas suite aux indications fournies par la recourante dans les questionnaires de révision au sujet des changements intervenus dans sa situation.</w:t>
      </w:r>
    </w:p>
    <w:p>
      <w:r>
        <w:rPr>
          <w:b/>
        </w:rPr>
        <w:t>E. 5.1</w:t>
      </w:r>
    </w:p>
    <w:p>
      <w:r>
        <w:t>Il convient encore d'examiner si c'est à bon droit que la juridiction cantonale a fixé au 26 mai 2010 - date à laquelle la recourante a fait parvenir à la caisse de compensation les actes de naissance pour ses deux enfants - le point de départ du délai de péremption des rentes arriérées. Les premiers juges ont considéré que ce n'était qu'une fois les actes de naissance déposés par la recourante que celle-ci avait pleinement rempli son obligation de s'annoncer.</w:t>
      </w:r>
    </w:p>
    <w:p>
      <w:r>
        <w:rPr>
          <w:b/>
        </w:rPr>
        <w:t>E. 5.2</w:t>
      </w:r>
    </w:p>
    <w:p>
      <w:r>
        <w:t>Un tel raisonnement ne peut être suivi. Il ressort des propres constatations de la juridiction cantonale que le premier courrier de la recourante, du 20 avril 2010, adressé à l'office AI, était suffisamment clair au sujet des prestations demandées (rentes complémentaires pour enfant requises, identité et dates de naissance des enfants indiquées), de sorte que ni l'office AI, ni la caisse de compensation, n'ont exigé de l'assurée qu'elle remplisse la formule officielle. A la suite de ce courrier, l'office AI a simplement demandé à l'intéressée d'envoyer à la caisse de compensation les actes de l'état civil attestant officiellement la naissance des enfants. Cela étant, sans qu'il soit besoin de trancher la question de savoir quelle forme doit revêtir exactement l'annonce de la naissance d'un enfant d'un bénéficiaire d'une rente d'invalidité en vue de percevoir une rente complémentaire pour enfant, on constate que dans le cas particulier la recourante a exprimé, dans son courrier du 20 avril 2010, de façon suffisamment explicite sa volonté de percevoir des prestations découlant de la naissance de ses deux enfants. Aussi, par l'envoi de ce courrier, la recourante a-t-elle rempli à satisfaction l'obligation de s'annoncer. Il importe peu que la lettre de la recourante ne remplisse pas les exigences de l' art. 65 RAI ou qu'elle n'ait pas été adressée ou transmise à la caisse de compensation, étant précisé que l'office AI est tout à fait compétent pour recevoir de telles annonces, respectivement demandes de prestations ( art. 67 et 77 RAI ). On rappellera que selon l' art. 29 al. 3 LPGA ,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Ainsi, il y a lieu de se référer à la date à laquelle le courrier en question a été remis au bureau de poste, soit le 21 avril 2010, comme point de départ du délai de péremption. Par conséquent, le droit de la recourante au versement des rentes arriérées doit remonter aux cinq ans précédant le 21 avril 2010. L'arriéré des rentes pour enfant pour le mois d'avril 2005 devra donc également lui être versé.</w:t>
      </w:r>
    </w:p>
    <w:p>
      <w:r>
        <w:rPr>
          <w:b/>
        </w:rPr>
        <w:t>E. 6</w:t>
      </w:r>
    </w:p>
    <w:p>
      <w:r>
        <w:t>Dès lors qu'elle succombe dans une très large mesure, la recourante supportera la majeure partie des frais judiciaires ( art. 66 al. 1 LTF ). Pour le même motif, elle a droit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