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9C_532/2008 vom 3. September 2008</w:t>
      </w:r>
    </w:p>
    <w:p>
      <w:r>
        <w:t>Bundesgericht, 2008-09-03, FR</w:t>
      </w:r>
    </w:p>
    <w:p>
      <w:r>
        <w:rPr>
          <w:b/>
        </w:rPr>
        <w:t xml:space="preserve">Quelle: </w:t>
      </w:r>
      <w:r>
        <w:t>https://mcp.opencaselaw.ch/entscheid/bger_9C_532_2008</w:t>
      </w:r>
    </w:p>
    <w:p>
      <w:r>
        <w:t>FR: TF 9C_532/2008 du 3 septembre 2008</w:t>
      </w:r>
    </w:p>
    <w:p>
      <w:r>
        <w:t>IT: TF 9C_532/2008 del 3 settembre 2008</w:t>
      </w:r>
    </w:p>
    <w:p>
      <w:pPr>
        <w:pStyle w:val="Heading2"/>
      </w:pPr>
      <w:r>
        <w:t>Erwägungen</w:t>
      </w:r>
    </w:p>
    <w:p>
      <w:r>
        <w:rPr>
          <w:b/>
        </w:rPr>
        <w:t>E. 1</w:t>
      </w:r>
    </w:p>
    <w:p>
      <w:r>
        <w:t>La présente affaire est analogue à celle qui a donné lieu à l'arrêt que le Tribunal fédéral a rendu le 24 juillet 2008 en la cause K. (9C_898/2007). Le Tribunal cantonal des assurances sociales du canton de Genève avait été saisi d'un recours dirigé contre une décision de l'Office de l'assurance-invalidité du canton de Genève, aux termes de laquelle ce dernier avait refusé d'entrer en matière sur une nouvelle demande de prestations. La juridiction cantonale avait annulé la décision administrative et renvoyé la cause à l'office AI afin qu'il entre en matière sur la nouvelle demande et examine s'il y avait effectivement eu un changement de circonstances propre à ouvrir droit à des prestations de l'AI.</w:t>
      </w:r>
    </w:p>
    <w:p>
      <w:r>
        <w:t>Examinant les conditions de recevabilité du recours interjeté par l'office AI, le Tribunal fédéral a considéré ce qui suit (consid. 1) :</w:t>
      </w:r>
    </w:p>
    <w:p>
      <w:r>
        <w:t>En tant qu'il renvoie la cause à l'office AI pour qu'il entre en matière sur la nouvelle demande et qu'il examine s'il y a effectivement eu changement de circonstances propre à ouvrir droit à des prestations de l'assurance-invalidité, le jugement entrepris constitue une décision incidente au sens de l' art. 93 LTF ( ATF 133 V 477 consid. 4.2 p. 481 [9C_15/2007]).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t>Un préjudice irréparable au sens de l' art. 93 al. 1 let. a LTF est un dommage de nature juridique qui ne peut pas être réparé ultérieurement par un jugement final ou une autre décision favorable au recourant ( ATF 133 V 645 consid. 2.1 p. 647 et les références). En revanche, un dommage de pur fait, comme la prolongation de la procédure ou un accroissement des frais de celle-ci, n'est pas considéré comme irréparable ( ATF 131 I 57 consid. 1 p. 59 et les arrêts cités). Un jugement cantonal de renvoi pour instruction complémentaire et nouvelle décision ne cause un dommage irréparable à l'administration que dans la mesure où il comporte des instructions sur la manière dont elle devra trancher certains aspects du rapport litigieux, restreignant ainsi de manière importante sa latitude de jugement, si bien qu'elle ne peut plus s'en écarter ( ATF 133 V 477 consid. 5.2 p. 483).</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 et les arrêts cités).</w:t>
      </w:r>
    </w:p>
    <w:p>
      <w:r>
        <w:rPr>
          <w:b/>
        </w:rPr>
        <w:t>E. 2</w:t>
      </w:r>
    </w:p>
    <w:p>
      <w:r>
        <w:t>En l'espèce, le recourant fonde toute son argumentation sur l'application de l' art. 87 al. 3 et 4 RAI . En revanche, hormis la question du respect du délai de recours, il omet de s'exprimer sur les autres conditions de recevabilité de son mémoire, ce qui doit être abordé en premier lieu, singulièrement au regard de l' art. 93 LTF dès lors que le jugement du 7 mai 2008 constitue une décision incidente (cf. consid. 1 supra).</w:t>
      </w:r>
    </w:p>
    <w:p>
      <w:r>
        <w:t>La condition du préjudice irréparable prévue à l' art. 93 al. 1 let. a LTF n'est toutefois pas remplie. En effet, le renvoi de la cause à l'office AI pour qu'il entre en matière sur la nouvelle demande, puis examine si l'aggravation rendue plausible de la péri-arthropathie de l'épaule droite était propre à ouvrir droit à des prestations de l'assurance-invalidité, ne restreint pas la latitude de jugement du recourant en ce qui concerne l'existence effective d'une telle aggravation et son incidence sur la capacité de travail de l'assuré.</w:t>
      </w:r>
    </w:p>
    <w:p>
      <w:r>
        <w:t>En ce qui concerne la deuxième éventualité prévue à l' art. 93 al. 1 let. b LTF , on ne voit pas que l'examen de l'incidence de l'aggravation de la santé sur la capacité de travail et de gain de l'intimé puisse entraîner une procédure longue et coûteuse.</w:t>
      </w:r>
    </w:p>
    <w:p>
      <w:r>
        <w:t>Il résulte de ce qui précède que les conclusions du recourant visant à annuler le renvoi de la cause sont irrecevables.</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