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9C_531/2024 vom 9. Oktober 2024</w:t>
      </w:r>
    </w:p>
    <w:p>
      <w:r>
        <w:t>Bundesgericht, 2024-10-09, DE</w:t>
      </w:r>
    </w:p>
    <w:p>
      <w:r>
        <w:rPr>
          <w:b/>
        </w:rPr>
        <w:t xml:space="preserve">Quelle: </w:t>
      </w:r>
      <w:r>
        <w:t>https://mcp.opencaselaw.ch/entscheid/bger_9C_531_2024</w:t>
      </w:r>
    </w:p>
    <w:p>
      <w:r>
        <w:t>FR: TF 9C_531/2024 du 9 octobre 2024</w:t>
      </w:r>
    </w:p>
    <w:p>
      <w:r>
        <w:t>IT: TF 9C_531/2024 del 9 ottobre 2024</w:t>
      </w:r>
    </w:p>
    <w:p>
      <w:pPr>
        <w:pStyle w:val="Heading2"/>
      </w:pPr>
      <w:r>
        <w:t>Volltext</w:t>
      </w:r>
    </w:p>
    <w:p>
      <w:r>
        <w:t>Bundesgericht</w:t>
      </w:r>
    </w:p>
    <w:p>
      <w:r>
        <w:t>Tribunal fédéral</w:t>
      </w:r>
    </w:p>
    <w:p>
      <w:r>
        <w:t>Tribunale federale</w:t>
      </w:r>
    </w:p>
    <w:p>
      <w:r>
        <w:t>Tribunal federal</w:t>
      </w:r>
    </w:p>
    <w:p>
      <w:r>
        <w:t>9C_531/2024</w:t>
      </w:r>
    </w:p>
    <w:p>
      <w:r>
        <w:t>Urteil vom 9. Oktober 2024</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Serafe AG, Schweizerische Erhebungsstelle, für die Radio- und Fernsehabgabe, Summelenweg 91, 8808 Pfäffikon,</w:t>
      </w:r>
    </w:p>
    <w:p>
      <w:r>
        <w:t>Beschwerdegegnerin.</w:t>
      </w:r>
    </w:p>
    <w:p>
      <w:r>
        <w:t>Gegenstand</w:t>
      </w:r>
    </w:p>
    <w:p>
      <w:r>
        <w:t>Haushaltabgabe gemäss Art. 69 ff. RTVG , Abgabeperiode 2019 - 2022,</w:t>
      </w:r>
    </w:p>
    <w:p>
      <w:r>
        <w:t>Beschwerde gegen das Urteil des Bundesverwaltungsgerichts vom 27. August 2024 (A-3572/2024).</w:t>
      </w:r>
    </w:p>
    <w:p>
      <w:r>
        <w:t>Nach Einsicht</w:t>
      </w:r>
    </w:p>
    <w:p>
      <w:r>
        <w:t>in die Beschwerde vom 26. September 2024 (Poststempel) gegen das Urteil vom 27. August 2024, mit welchem das Bundesverwaltungsgericht auf die bei ihm erhobene Beschwerde nicht eintrat, weil der Beschwerdeführer den von ihm verlangten Kostenvorschuss innert der gesetzten Frist nicht geleistet hatte,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zu sein hat, d.h. Bezug auf den Streitgegenstand nehmen muss, was bei einer Beschwerde gegen einen Nichteintretensentscheid erfordert, dass sie sich mit den Nichteintretensmotiven auseinandersetzt ( BGE 123 V 335 ; 118 Ib 134 ; ARV 2002 Nr. 7 S. 61 E. 2),</w:t>
      </w:r>
    </w:p>
    <w:p>
      <w:r>
        <w:t>dass sich der Beschwerdeführer in seiner Eingabe mit keinem Wort zum vorinstanzlichen Nichteintreten äussert, sondern sich damit begnügt, für die hier nicht relevante materielle Seite des Rechtsstreites auf die Unterlagen zu verweisen,</w:t>
      </w:r>
    </w:p>
    <w:p>
      <w:r>
        <w:t>dass die Beschwerde den gesetzlichen Begründungserfordernissen damit offensichtlich nicht genügt,</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 und dem Bundesamt für Kommunikation schriftlich mitgeteilt.</w:t>
      </w:r>
    </w:p>
    <w:p>
      <w:r>
        <w:t>Luzern, 9. Oktober 2024</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