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9C_531/2015 vom 22. März 2016</w:t>
      </w:r>
    </w:p>
    <w:p>
      <w:r>
        <w:t>Bundesgericht, 2016-03-22, FR</w:t>
      </w:r>
    </w:p>
    <w:p>
      <w:r>
        <w:rPr>
          <w:b/>
        </w:rPr>
        <w:t xml:space="preserve">Quelle: </w:t>
      </w:r>
      <w:r>
        <w:t>https://mcp.opencaselaw.ch/entscheid/bger_9C_531_2015</w:t>
      </w:r>
    </w:p>
    <w:p>
      <w:r>
        <w:t>FR: TF 9C_531/2015 du 22 mars 2016</w:t>
      </w:r>
    </w:p>
    <w:p>
      <w:r>
        <w:t>IT: TF 9C_531/2015 del 22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2</w:t>
      </w:r>
    </w:p>
    <w:p>
      <w:r>
        <w:t>Le litige porte sur le montant des intérêts moratoires sur les cotisations dues par le recourant pour la période de juillet 2010 à fin 2012, singulièrement sur le taux d'intérêts à appliquer.</w:t>
      </w:r>
    </w:p>
    <w:p>
      <w:r>
        <w:rPr>
          <w:b/>
        </w:rPr>
        <w:t>E. 3.1</w:t>
      </w:r>
    </w:p>
    <w:p>
      <w:r>
        <w:t>La juridiction cantonale a considéré que le taux d'intérêts moratoires perçus sur les créances de cotisations échues était de 5 % l'an, en application des règles légales et des principes jurisprudentiels en la matière qu'elle a dûment exposés dans le jugement entrepris, auquel on peut renvoyer.</w:t>
      </w:r>
    </w:p>
    <w:p>
      <w:r>
        <w:rPr>
          <w:b/>
        </w:rPr>
        <w:t>E. 3.2</w:t>
      </w:r>
    </w:p>
    <w:p>
      <w:r>
        <w:t>Le recourant ne conteste pas le montant des cotisations échues qu'il a été condamné à payer à l'intimée, ni le principe selon lequel des intérêts sont dus sur ces créances. Il soutient en revanche que le taux d'intérêts devrait être de 3 % l'an, au regard de l'environnement économique actuel.</w:t>
      </w:r>
    </w:p>
    <w:p>
      <w:r>
        <w:rPr>
          <w:b/>
        </w:rPr>
        <w:t>E. 4</w:t>
      </w:r>
    </w:p>
    <w:p>
      <w:r>
        <w:t>Conformément à ce qu'ont retenu les premiers juges, des intérêts moratoires sont perçus sur les créances de cotisations échues, en vertu de l' art. 26 al. 1 LPGA , en relation avec les art. 41bis et 42 du Règlement du 31 octobre 1947 sur l'assurance-vieillesse et survivants (RAVS; RS 831.101).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Le taux d'intérêts de 5 % est prévu par l' art. 42 al. 2 RAVS . Il a été fixé par le Conseil fédéral dans le cadre de la compétence qui lui a été déléguée par la loi en collaboration avec la Commission fédérale de l'AVS (cf. art. 73 LAVS ) et les commissions spécialisées, de telle manière qu'il puisse être appliqué efficacement et sans trop de formalités administratives lors de la procédure de recouvrement et de perception menée par les caisses de compensation. Contrairement à ce que voudrait le recourant, les intérêts de retard au sens de l'AVS ne sont pas à mettre en relation avec les taux d'intérêts du marché; il s'agit plutôt ici d'un taux d'intérêts "technique" ( ATF 139 V 297 consid. 3.3.2.2 p. 305 et les références). En outre et conformément à ce qu'a relevé la juridiction cantonale, le Tribunal fédéral a confirmé à plusieurs reprises que le taux de 5 % prévu par l' art. 42 al. 2 RAVS est conforme au droit ( ATF 139 V 297 consid. 3.3.2.1 pp. 304 s.; 134 V 202 consid. 3.5 p. 207). Il n'y a dès lors pas lieu de s'écarter de ce taux, ce d'autant moins que l' art. 104 al. 1 CO prévoit également un taux d'intérêts à 5 % et est applicable, par analogie, en droit administratif comme principe juridique général en l'absence de règle particulière ( ATF 139 V 297 consid. 3.3.3 p. 306 et les références).</w:t>
      </w:r>
    </w:p>
    <w:p>
      <w:r>
        <w:t>Par conséquent, c'est à bon droit que les premiers juges ont confirmé le taux d'intérêts à 5 % l'an.</w:t>
      </w:r>
    </w:p>
    <w:p>
      <w:r>
        <w:t>Manifestement mal fondé, le recours de l'assuré doit être rejeté selon la procédure simplifiée de l' art. 109 al. 2 let. a LTF .</w:t>
      </w:r>
    </w:p>
    <w:p>
      <w:r>
        <w:rPr>
          <w:b/>
        </w:rPr>
        <w:t>E. 5</w:t>
      </w:r>
    </w:p>
    <w:p>
      <w:r>
        <w:t>Vu l'issue du litige, les frais judiciaires sont mis à la charge de l'assuré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