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9C_52/2018 vom 21. Juni 2018</w:t>
      </w:r>
    </w:p>
    <w:p>
      <w:r>
        <w:t>Bundesgericht, 2018-06-21, DE</w:t>
      </w:r>
    </w:p>
    <w:p>
      <w:r>
        <w:rPr>
          <w:b/>
        </w:rPr>
        <w:t xml:space="preserve">Quelle: </w:t>
      </w:r>
      <w:r>
        <w:t>https://mcp.opencaselaw.ch/entscheid/bger_9C_52_2018</w:t>
      </w:r>
    </w:p>
    <w:p>
      <w:r>
        <w:t>FR: TF 9C_52/2018 du 21 juin 2018</w:t>
      </w:r>
    </w:p>
    <w:p>
      <w:r>
        <w:t>IT: TF 9C_52/2018 del 21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Vorsorgeeinrichtung, welche Vorleistungen erbracht hat, kann unmittelbar von Gesetzes wegen ( Art. 26 Abs. 4 Satz 2 BVG ) in diesem Umfang einen Regressanspruch gegen die leistungspflichtige Vorsorgeeinrichtung geltend machen ( BGE 136 V 131 E. 3.6 S. 140; Urteil 9C_671/2014 vom 30. Januar 2015 E. 3.4).</w:t>
      </w:r>
    </w:p>
    <w:p>
      <w:r>
        <w:rPr>
          <w:b/>
        </w:rPr>
        <w:t>E. 3.1</w:t>
      </w:r>
    </w:p>
    <w:p>
      <w:r>
        <w:t>Nach Art. 23 lit. a BVG hat Anspruch auf Invalidenleistungen aus beruflicher Vorsorge,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eingetreten ist (Urteile 9C_536/2012 vom 28. Dezember 2012 E. 2.1.1 und 9C_849/2012 vom 18. März 2013 E. 2.1.1; HANS-ULRICH STAUFFER, Berufliche Vorsorge, 2. Aufl. 2012, S. 333 f. N. 914; DERSELBE, Die Rechtsprechung des Bundesgerichts zur beruflichen Vorsorge, 3. Aufl. 2013, S. 69; ISABELLE VETTER-SCHREIBER, Kommentar zum BVG und FZG, Zürich 2013, N. 9 zu Art. 23).</w:t>
      </w:r>
    </w:p>
    <w:p>
      <w:r>
        <w:rPr>
          <w:b/>
        </w:rPr>
        <w:t>E. 3.2</w:t>
      </w:r>
    </w:p>
    <w:p>
      <w:r>
        <w:t>Die Arbeitsunfähigkeit ist relevant, wenn sie mindestens 20 % beträgt (Urteil 9C_772/2007 vom 26. Februar 2008 E. 3.2; Urteil des Eidg. Versicherungsgerichts B 48/97 vom 7. Oktober 1998 E. 1) und sich auf das Arbeitsverhältnis sinnfällig auswirkt oder ausgewirkt hat. Es muss arbeitsrechtlich in Erscheinung treten, dass der Versicherte im bisherigen Beruf ( BGE 134 V 20 E. 5.3 S. 27)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S. 360 mit Hinweisen) echtzeitlich nachgewiesen sein. Dieser Nachweis darf nicht durch nachträgliche Annahmen und spekulative Überlegungen ersetzt werden (Urteile 9C_368/2008 vom 11. September 2008 E. 2, 9C_273/2012 vom 20. November 2012 E. 4.1.1 und 9C_849/2012 vom 18. März 2013 E. 2.1.2).</w:t>
      </w:r>
    </w:p>
    <w:p>
      <w:r>
        <w:rPr>
          <w:b/>
        </w:rPr>
        <w:t>E. 3.3</w:t>
      </w:r>
    </w:p>
    <w:p>
      <w:r>
        <w:t>Vorinstanzliche Feststellungen zu Art des Gesundheitsschadens (Befund, Diagnose etc.) und Arbeitsfähigkeit sind als Ergebnis einer Beweiswürdigung für das Bundesgericht grundsätzlich bindend (E. 1 hievor;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Urteile 9C_670/2010 vom 23. Dezember 2010 E. 1.2 und 9C_849/2012 vom 18. März 2013 E. 2.2).</w:t>
      </w:r>
    </w:p>
    <w:p>
      <w:r>
        <w:rPr>
          <w:b/>
        </w:rPr>
        <w:t>E. 4.1</w:t>
      </w:r>
    </w:p>
    <w:p>
      <w:r>
        <w:t>Der im invalidenversicherungsrechtlichen Verfahren ermittelte Invaliditätsgrad und der Beginn der einjährigen Wartezeit nach Art. 28 Abs. 1 lit. b IVG (bis 31. Dezember 2007: Art. 29 Abs. 1 lit. b IVG ) sind im Streit um Invalidenleistungen der beruflichen Vorsorge und um die gesetzliche ( Art. 23 lit. a BVG ) und reglementarische Leistungspflicht der ins Recht gefassten Vorsorgeeinrichtung grundsätzlich verbindlich, sofern die betreffenden Festlegungen aufgrund einer gesamthaften Prüfung der Akten nicht als offensichtlich unhaltbar erscheinen (vgl. BGE 133 V 67 E. 4.3.2 S. 69 143 V 434 E. 2.2 S. 437).</w:t>
      </w:r>
    </w:p>
    <w:p>
      <w:r>
        <w:rPr>
          <w:b/>
        </w:rPr>
        <w:t>E. 4.2</w:t>
      </w:r>
    </w:p>
    <w:p>
      <w:r>
        <w:t>Da der Stiftung Auffangeinrichtung BVG die Verfügung der IV-Stelle vom 16. November 2006 eröffnet wurde und sie dementsprechend die Möglichkeit gehabt hätte, diese bezüglich des Beginns der Wartezeit nach IVG gerichtlich anzufechten, hat die Vorinstanz eine Bindungswirkung der Verfügung für die Beschwerdeführerin bejaht. Diese stellt denn auch die Bindungswirkung der Verfügung der IV-Stelle vom 16. November 2006 grundsätzlich nicht in Frage. Dabei ist auch zu beachten, dass die Beschwerdeführerin bereits am 23. Dezember 2014, also geraume Zeit vor Verfügungserlass am 16. November 2006, um Akteneinsicht bei der IV-Stelle ersucht hatte. Ob diesem Einsichtsbegehren entsprochen wurde, kann den Akten nicht entnommen werden. Die Beschwerdeführerin beruft sich jedoch darauf, dass der Beginn der massgebenden Arbeitsunfähigkeit offensichtlich zu Unrecht auf den 24. September 2003 festgelegt worden sei, womit eine Bindungswirkung entfalle.</w:t>
      </w:r>
    </w:p>
    <w:p>
      <w:r>
        <w:rPr>
          <w:b/>
        </w:rPr>
        <w:t>E. 4.3</w:t>
      </w:r>
    </w:p>
    <w:p>
      <w:r>
        <w:t>Die Beschwerdeführerin begründet diesen Standpunkt wie folgt:</w:t>
      </w:r>
    </w:p>
    <w:p>
      <w:r>
        <w:rPr>
          <w:b/>
        </w:rPr>
        <w:t>E. 4.3.1</w:t>
      </w:r>
    </w:p>
    <w:p>
      <w:r>
        <w:t>Der Beigeladene habe am 12. April 2002 einen Zusammenbruch erlitten und sei stationär bis 30. Juni 2002 in der Psychiatrischen Klinik behandelt worden. Anschliessend habe er vom 1. Juli 2002 bis 30. März 2003 die Tagesklinik besucht. Solange der Beigeladene in der Tagesklinik gewesen sei, das heisst bis 30. März 2003, habe er als krank und arbeitsunfähig zu gelten. Gemäss dem ärztlichen Zeugnis des med. pract. E.________, Oberarzt des Psychiatriezentrums F.________, vom 19. November 2002 hielt sich der Beigeladene vom 12. April 2002 bis 17. Juni 2002 stationär dort auf. Seit 18. Juni 2002 sei er ambulant in der Tagesklinik des Psychiatriezentrums F.________ behandelt worden. Med. pract. E.________ attestierte dabei vom 12. April 2002 bis 30. Juni 2002 eine Arbeitsunfähigkeit von 100 %, ab 1. Juli 2002 bis 10. November 2002 eine solche von 50 %. Ab 11. November 2002 bescheinigte er volle Arbeitsfähigkeit. In Anbetracht des echtzeitlichen Arztzeugnisses des med. pract. E.________ vom 19. November 2002 ist es keineswegs willkürlich, dass die Vorinstanz darauf abgestellt hat. Unter Berücksichtigung dieses Dokumentes ist die Verfügung vom 16. November 2006, die den Rentenbeginn auf 1. September 2004 und somit den Beginn der durchschnittlich mindestens 40%igen Arbeitsunfähigkeit gemäss Art. 29 Abs. 1 lit. b IVG (in der bis 31. Dezember 2007 gültigen Fassung) auf September 2003 festlegte, nicht offensichtlich unrichtig.</w:t>
      </w:r>
    </w:p>
    <w:p>
      <w:r>
        <w:rPr>
          <w:b/>
        </w:rPr>
        <w:t>E. 4.3.2</w:t>
      </w:r>
    </w:p>
    <w:p>
      <w:r>
        <w:t>Die Beschwerdeführerin bringt sodann vor, dass vom 11. November 2002 bis 24. September 2003 keine volle Arbeitsfähigkeit bestanden habe; echtzeitliche Arbeitsunfähigkeitsatteste fehlten jedoch. Gemäss Verlauf des weiteren (Arbeits-) Weges des Beigeladenen sei dieser seit dem 12. April 2002 nie mehr voll arbeitsfähig gewesen. Dem ist entgegenzuhalten, dass die Arbeitslosenversicherung von einer Vermittlungsfähigkeit von 100 % während dieses Zeitraums ausgegangen ist, was für Arbeitsfähigkeit spricht, auch wenn dem Bezug von Arbeitslosenentschädigung nicht die gleiche Bedeutung beigemessen werden kann wie einer Periode effektiver Erwerbstätigkeit (Urteil 9C_767/2011 vom 4. Mai 2012 E. 4.3). Die Behauptung der Stiftung Auffangeinrichtung BVG, der Beigeladene habe vom 24. Mai 2002 bis Oktober 2003 Krankentaggelder bezogen, ist sodann aktenwidrig. Tatsächlich wurden Krankengelder nur von Mai bis Oktober 2002 und nicht 2003 ausgerichtet, wie mit der entsprechenden Rückforderungsabrechnung der Arbeitslosenkasse vom 6. Januar 2003 belegt wird und was die Vorinstanz festgestellt hat. Spätestens ab November 2002 war der Beigeladene aus Sicht der Arbeitslosenkasse wieder voll vermittlungsfähig. Dies stimmt auch mit dem zitierten Bericht des med. pract. E.________ vom 19. November 2002 überein. Daher kann mit Blick auf diese Dokumente nicht mit Erfolg geltend gemacht werden, die Annahme einer vollen Arbeitsfähigkeit im Zeitraum vom 11. November 2002 bis 24. September 2003 sei willkürlich.</w:t>
      </w:r>
    </w:p>
    <w:p>
      <w:r>
        <w:rPr>
          <w:b/>
        </w:rPr>
        <w:t>E. 4.3.3</w:t>
      </w:r>
    </w:p>
    <w:p>
      <w:r>
        <w:t>Die Beschwerdeführerin vertritt sodann die Auffassung, wegen des Aufenthalts in der Tagesklinik des Psychiatriezentrums F.________ vom 17. Juni 2002 bis 7. März 2003 sei der Beigeladene nicht als gesund und arbeitsfähig zu betrachten gewesen. Gegen diese Annahme spricht aber, dass zumindest ab November 2002 keine Taggelder der Arbeitslosenversicherung mehr zurückgefordert wurden und med. pract. E.________ - trotz des ihm bekannten Aufenthaltes des Beigeladenen in der Tagesklinik - am 19. November 2002 eine volle Arbeitsfähigkeit ab 11. November 2002 bescheinigt hat. Es ist daher entgegen der Auffassung der Beschwerdeführerin weder offensichtlich falsch, dass bei einem Aufenthalt in der Tagesklinik des Psychiatriezentrums F.________ nicht auf eine weiter andauernde Arbeitsunfähigkeit geschlossen wird noch ist die Beweiswürdigung der Vorinstanz willkürlich, sondern - gerade auch unter Berücksichtigung des gleichzeitigen Bezugs von Arbeitslosentaggeldern und des Fehlens echtzeitlicher Arztzeugnisse, die eine Arbeitsunfähigkeit für die entsprechende Periode belegen würden, - sehr wohl ohne weiteres nachvollziehbar.</w:t>
      </w:r>
    </w:p>
    <w:p>
      <w:r>
        <w:rPr>
          <w:b/>
        </w:rPr>
        <w:t>E. 4.3.4</w:t>
      </w:r>
    </w:p>
    <w:p>
      <w:r>
        <w:t>Die Beschwerdeführerin ist der Ansicht, dass trotz Fehlens echtzeitlicher Arztzeugnisse in der Zeit vom 11. November 2002 bis 24. September 2003 auf eine andauernde Arbeitsunfähigkeit zu schliessen sei. Sie legt für ihre Behauptung - aus der sie auch entsprechende Rechte ableitet, indem sie damit eine Zuständigkeit der Beschwerdegegnerin als leistungspflichtige Vorsorgeeinrichtung und dementsprechend auch ihre Rückforderung begründet - keine Beweise vor. Die vorhandenen Indizien (keine echtzeitliche Arbeitsunfähigkeitsbescheinigung sowie die während dieser Zeitperiode aufgrund der Vermittlungsfähigkeit des Beigeladenen ausgerichteten Taggelder der Arbeitslosenversicherung) sprechen gegen ihre Betrachtungsweise. Letztlich hat die Beschwerdeführerin, die aus der unbewiesen gebliebenen Arbeitsunfähigkeit des Beigeladenen und damit verbunden der offensichtlichen Unrichtigkeit der Verfügung der IV-Stelle Rechte ableiten wollte, die Folgen der Beweislosigkeit zu tragen.</w:t>
      </w:r>
    </w:p>
    <w:p>
      <w:r>
        <w:rPr>
          <w:b/>
        </w:rPr>
        <w:t>E. 4.3.5</w:t>
      </w:r>
    </w:p>
    <w:p>
      <w:r>
        <w:t>Die Stiftung Auffangeinrichtung BVG bringt weiter vor, die Tätigkeit im Rahmen eines Beschäftigungsprogramms lasse nicht auf eine volle Arbeitsfähigkeit schliessen. Da der Beigeladene in der Zeit vom 11. November 2002 bis 26. April 2004 Taggelder der Arbeitslosenversicherung bezogen hat, ist als erwiesen zu erachten, dass das Beschäftigungsprogramm im Rahmen einer arbeitsmarktlichen Massnahme gemäss Art. 17 Abs. 3 lit. a AVIG (und nicht als berufliche Massnahme der Invalidenversicherung) durchgeführt wurde. Im Arbeitszeugnis des Amtes G.________ vom 10. September 2003 findet sich kein Hinweis auf eine eingeschränkte Arbeitsfähigkeit. Vielmehr wurde dargelegt, dass der Beigeladene seine Arbeit selbstständig und mit grossem Engagement ausgeführt und sich als angenehmer und fleissiger Mitarbeiter bestens in das Team integriert habe. Die Tätigkeit des Beigeladenen im Amt G.________ taugt somit nicht als Nachweis für die behauptete offensichtliche Unrichtigkeit der Verfügung der IV-Stelle vom 16. November 2006.</w:t>
      </w:r>
    </w:p>
    <w:p>
      <w:r>
        <w:rPr>
          <w:b/>
        </w:rPr>
        <w:t>E. 4.3.6</w:t>
      </w:r>
    </w:p>
    <w:p>
      <w:r>
        <w:t>Von einer zufälligen Festlegung der Wartezeit durch die IV-Stelle in der Verfügung vom 16. November 2006 kann entgegen der Auffassung der Beschwerdeführerin nicht ausgegangen werden. Im Zeitpunkt der Verfügung vom 3. Oktober 2003 war die IV-Stelle weder im Besitz der Arztberichte der Frau Dr. med. H.________ vom 20. Oktober 2004 und 11. November 2004 noch des Gutachtens der Frau Dr. med. D.________ vom 2. Februar 2005. Für die Festlegung des Beginns der Arbeitsunfähigkeit auf den 24. September 2003 wurde offensichtlich auf das im Bericht der Frau Dr. med. H.________ vom 11. November 2004 genannte Datum abgestellt. Da die Anmeldung zum Bezug von Rentenleistungen der Invalidenversicherung vom 8. Juli 2004, spätestens vom 22. September 2004, datiert, wäre eine Rentenzusprechung schon ab Juli oder September 2003 möglich gewesen, wie die Vorinstanz unter Hinweis auf Art. 48 Abs. 2 IVG (in der bis 31. Dezember 2007 gültigen Fassung) zutreffend festgehalten hat. Tatsächlich erfolgte die Rentenzusprache aber erst ab 1. September 2004. Von einer zufälligen Festlegung des Beginns der Arbeitsunfähigkeit und somit der Wartezeit kann daher nicht die Rede sein.</w:t>
      </w:r>
    </w:p>
    <w:p>
      <w:r>
        <w:rPr>
          <w:b/>
        </w:rPr>
        <w:t>E. 4.3.7</w:t>
      </w:r>
    </w:p>
    <w:p>
      <w:r>
        <w:t>Selbst wenn ein Besuch von Kursen kein Zeichen für eine Arbeitsfähigkeit wäre, wie die Beschwerdeführerin weiter behauptet, ist die Belegung eines Lehrgangs schon gar nicht als Zeichen für das Vorliegen einer Arbeitsunfähigkeit zu werten. Die Beschwerdeführerin vermag daraus ebenfalls nichts zu ihren Gunsten abzuleiten.</w:t>
      </w:r>
    </w:p>
    <w:p>
      <w:r>
        <w:rPr>
          <w:b/>
        </w:rPr>
        <w:t>E. 4.4</w:t>
      </w:r>
    </w:p>
    <w:p>
      <w:r>
        <w:t>Damit ist die Verfügung der IV-Stelle vom 16. November 2006 für die Beschwerdeführerin verbindlich. Dementsprechend fällt der Beginn der massgebenden Arbeitsunfähigkeit in den Zeitraum, in welchem der Beigeladene bei der Beschwerdeführerin berufsvorsorgeversichert war. Deren Forderung gegenüber der Beschwerdegegnerin fehlt somit die Grundlage.</w:t>
      </w:r>
    </w:p>
    <w:p>
      <w:r>
        <w:rPr>
          <w:b/>
        </w:rPr>
        <w:t>E. 5</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