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9C_529/2013 vom 2. Dezember 2013</w:t>
      </w:r>
    </w:p>
    <w:p>
      <w:r>
        <w:t>Bundesgericht, 2013-12-02, FR</w:t>
      </w:r>
    </w:p>
    <w:p>
      <w:r>
        <w:rPr>
          <w:b/>
        </w:rPr>
        <w:t xml:space="preserve">Quelle: </w:t>
      </w:r>
      <w:r>
        <w:t>https://mcp.opencaselaw.ch/entscheid/bger_9C_529_2013</w:t>
      </w:r>
    </w:p>
    <w:p>
      <w:r>
        <w:t>FR: TF 9C_529/2013 du 2 décembre 2013</w:t>
      </w:r>
    </w:p>
    <w:p>
      <w:r>
        <w:t>IT: TF 9C_529/2013 del 2 dicembre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Il n'examine en principe que les griefs invoqués, compte tenu de l'exigence de motivation prévue à l' art. 42 al. 2 LTF , et ne peut aller au-delà des conclusions des parties ( art. 107 al. 1 LTF ). Le Tribunal fédéral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caractère tardif ou non du recours formé le 13 septembre 2012 contre les décisions des 21 novembre 2011 et 6 et 13 février 2012.</w:t>
      </w:r>
    </w:p>
    <w:p>
      <w:r>
        <w:rPr>
          <w:b/>
        </w:rPr>
        <w:t>E. 3</w:t>
      </w:r>
    </w:p>
    <w:p>
      <w:r>
        <w:t>La juridiction cantonale a constaté que ces actes avaient été transmis directement au recourant et n'avaient pas été notifiés à son représentant. Le délai pour contester une décision commençait à courir, dans une telle constellation, le dernier jour du délai de recours calculé dès la notification à l'assuré de l'acte en question. Etant donné que les décisions litigieuses, dont la dernière avait été rendue en février 2012, étaient susceptibles de recours dans un délai de 30 jours, elles étaient donc entrées en force au moment du dépôt du recours, en septembre 2012. Celui-ci devait ainsi être déclaré tardif, ce qui valait également si l'on admettait que le courrier envoyé par l'intimé au recourant le 26 janvier 2012 avait pu créer une certaine confusion. Dans cette hypothèse, il fallait effectivement considérer que le laps de temps écoulé entre la réception des décisions en cause par le recourant et la réaction de son représentant - qui s'était manifesté auprès de l'intimé le 20 juillet 2012 et avait déposé le recours le 13 septembre suivant - était trop important pour être considéré comme raisonnable, d'autant que le recourant avait rempli le 22 juin 2012 avec son mandataire un questionnaire pour la révision de son droit à la rente.</w:t>
      </w:r>
    </w:p>
    <w:p>
      <w:r>
        <w:rPr>
          <w:b/>
        </w:rPr>
        <w:t>E. 4</w:t>
      </w:r>
    </w:p>
    <w:p>
      <w:r>
        <w:t>Selon l' art. 37 LPGA ,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 ATF 99 V 177 consid. 3 p. 182; SVR 2009 UV n° 16 p. 62, 8C_210/2008; RAMA 1997 n° U 288 p. 442, U 263/96, consid. 2b). Lorsqu'il reçoit personnellement une communication de l'assureur social, l'assuré représenté est en droit de penser que celle-ci est aussi parvenue à son représentant et qu'il peut s'abstenir d'agir personnellement (U ELI KIESER, ATSG-Kommentar, 2ème éd. 2009, n. 14 ad art. 37).</w:t>
      </w:r>
    </w:p>
    <w:p>
      <w:r>
        <w:t>La notification irrégulière d'une décision ne doit entraîner aucun préjudice pour l'intéressé (art. 49 al. 3, 3ème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consid. 3a/aa p. 99; 111 V 149 consid. 4c p. 150 et les références; RAMA 1997 n°U 288 p. 442, U 263/96, consid. 2b/bb). Cela signifie notamment qu'une décision, fût-elle notifiée de manière irrégulière, peut entrer en force si elle n'est pas déférée au juge dans un délai raisonnable (SJ 2000 I p. 118, 1P.485/1999). En vertu de son devoir de diligence, il appartient à la partie à qui la décision a été directement notifiée de se renseigner auprès de son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(DTA 2002 n° 9 p. 65, C 196/00, consid. 3a et la référence).</w:t>
      </w:r>
    </w:p>
    <w:p>
      <w:r>
        <w:rPr>
          <w:b/>
        </w:rPr>
        <w:t>E. 5</w:t>
      </w:r>
    </w:p>
    <w:p>
      <w:r>
        <w:t>Le recourant reproche aux premiers juges d'avoir violé les art. 37 et 49 al. 3 LPGA ainsi que l'interdiction du formalisme excessif issue des art. 29 al. 1 Cst. et 6 § 1 CEDH . L'application du principe selon lequel un assuré représenté qui reçoit directement une décision est censé prendre contact avec son mandataire au plus tard le dernier jour du délai de recours se comprendrait lorsque l'acte en question met fin à son droit à des prestations. Dans cette hypothèse, l'intéressé subirait en effet immédiatement les conséquences de la décision et, partant, serait en mesure d'en comprendre le contenu. En revanche, il en irait différemment des cas où - comme en l'espèce - la décision en cause ne déploie ses effets que bien après le moment de la notification. Au surplus, les décisions litigieuses revêtiraient un caractère technique et s'inscriraient dans un contexte assécurologique complexe, si bien qu'il n'aurait pas été capable d'en saisir la portée. Il serait en outre permis de se demander si un assuré qui entend contester une décision notifiée irrégulièrement ne devrait pas toujours disposer pour ce faire d'un délai d'un an, comme l'admettrait la jurisprudence dans certains cas particuliers. Par ailleurs, on ne pourrait pas reprocher à son avocat d'avoir attendu jusqu'au 20 juillet 2012 pour demander à l'intimé qu'une nouvelle décision, remplaçant celle du 21 novembre 2011, lui soit notifiée. Dans le courrier adressé par l'administration à son mandataire le 26 janvier 2012, celle-ci aurait effectivement indiqué qu'une décision serait rendue après que la SUVA aurait pris position, ce qui selon l'expérience générale prendrait un certain temps. Quant aux décisions des 6 et 13 février 2012, son représentant en aurait pris connaissance le 3 août 2012, à réception du courrier que lui avait envoyé l'intimé le 24 juillet précédent. Le délai de recours ayant été suspendu durant les féries judiciaires, le recours déposé le 13 septembre 2012 contre ces trois actes l'aurait dès lors été en temps utile.</w:t>
      </w:r>
    </w:p>
    <w:p>
      <w:r>
        <w:rPr>
          <w:b/>
        </w:rPr>
        <w:t>E. 6</w:t>
      </w:r>
    </w:p>
    <w:p>
      <w:r>
        <w:t>Les principes jurisprudentiels précités (cf. consid. 4), confirmés à la lumière de la CEDH et de la LPGA (arrêt 9C_85/2011 du 17 janvier 2012 consid. 6.2, 6.3 et 6.8), n'opèrent pas de distinctions entre les décisions notifiées irrégulièrement en fonction de leur objet et le recourant n'avance pas de raisons sérieuses et objectives propres à remettre en cause cette pratique (sur les conditions d'un changement de jurisprudence, cf. ATF 133 V 37 consid. 5.3.3 p. 39; 132 V 357 consid. 3.2.4.1 p. 360 et les références citées). Il n'y a effectivement aucune raison de penser que le moment où une décision prend effet a une influence sur la faculté de son destinataire à en comprendre le contenu. De plus, on ne saurait affirmer que les décisions mettant fin au droit à des prestations déploient leurs effets immédiatement au moment de leur notification contrairement aux autres décisions rendues en matière d'assurance-invalidité. Une telle généralisation ignore notamment le fait que bon nombre d'actes appartenant à la première catégorie citée concerne la suppression du droit à une rente, laquelle peut intervenir au plus tôt le premier jour du deuxième mois suivant la notification ( art. 88 bis al. 2 let. a RAI ). Au surplus, c'est en vain que le recourant invoque le caractère prétendument complexe des décisions litigieuses pour en déduire qu'il ne pouvait pas comprendre leur contenu et, partant, qu'on ne pouvait pas attendre de lui qu'il contacte son mandataire après les avoir reçues. En effet, le contenu de ces actes n'est pas plus difficilement intelligible que celui du projet d'acceptation de rente du 20 juin 2011, notifié uniquement à l'intéressé, et ce dernier a manifestement soumis ce document à son mandataire puisque celui-ci s'y est opposé le 5 juillet 2011. Par ailleurs, on ne voit pas - et le recourant ne le précise pas non plus - quels motifs justifieraient l'extension de la jurisprudence développée en matière d'assurance-accident selon laquelle celui qui entend contester le refus (total ou partiel) de prestations communiqué à tort selon une procédure simplifiée, sans décision formelle, doit en principe le déclarer dans un délai d'une année ( ATF 134 V 145 consid. 5.3 p. 151 ss). C'est donc à bon droit que les premiers juges ont appliqué aux décisions des 6 et 13 février 2012 les principes jurisprudentiels cités plus haut et en ont déduit que ces actes étaient entrés en force lorsqu'ils ont été portés devant eux.</w:t>
      </w:r>
    </w:p>
    <w:p>
      <w:r>
        <w:t>Pour le reste, c'est en vain que le recourant tente de tirer argument du courrier que son mandataire a adressé à l'intimé le 23 janvier 2012, respectivement des suites données par l'administration à la missive en question. Son avocat a effectivement eu connaissance, à cette date au plus tard, de la décision du 21 novembre 2011 par laquelle l'intimé lui avait octroyé un trois quarts de rente de l'assurance-invalidité à partir du 1er novembre 2011. Il appartenait alors au recourant, s'il entendait attaquer cet acte, de le faire dans le délai de 30 jours prévu par l' art. 60 LPGA et non de solliciter la notification d'une nouvelle décision (cf. par exemple arrêt 2C_347/2010 du 4 octobre 2010 consid. 2.2), étant précisé qu'il ne pouvait pas se prévaloir d'une absence de l'indication des voies de droit dans la décision précitée puisqu'il était représenté par un homme de loi (cf. ATF 134 I 199 consid. 1.3.1 p. 203). De plus, le mandataire du recourant devait savoir que la problématique évoquée dans le courrier envoyé le 18 janvier 2012 par la Caisse cantonale vaudoise de compensation à la SUVA ne pouvait exercer une influence ni sur la quotité de la rente allouée par la décision du 21 novembre 2011 ni sur le moment à partir duquel le droit à cette prestation était reconnu; l'avocat en question ne pouvait donc pas déduire du courrier que lui avait adressé l'administration le 26 janvier 2012 en se référant à ce pli que l'intimé comptait revenir sur cette décision.</w:t>
      </w:r>
    </w:p>
    <w:p>
      <w:r>
        <w:rPr>
          <w:b/>
        </w:rPr>
        <w:t>E. 7</w:t>
      </w:r>
    </w:p>
    <w:p>
      <w:r>
        <w:t>Sur le vu de ce qui précède, le recours est mal fondé. Compte tenu de l'issue de la procédure, les frais judiciaires sont à la charge du recourant, qui ne peut prétendre de dépens (art. 66 al. 1 et 68 al. 1 LTF). Il a cependant sollicité le bénéfice de l'assistance judiciaire gratuite pour l'instance fédérale. Dès lors que les conditions en sont réalisées ( art. 64 LTF ), le recourant est dispensé du paiement des frais judiciaires et les honoraires de son avocat seront pris en charge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