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529/2010 vom 24. Januar 2011</w:t>
      </w:r>
    </w:p>
    <w:p>
      <w:r>
        <w:t>Bundesgericht, 2011-01-24, FR</w:t>
      </w:r>
    </w:p>
    <w:p>
      <w:r>
        <w:rPr>
          <w:b/>
        </w:rPr>
        <w:t xml:space="preserve">Quelle: </w:t>
      </w:r>
      <w:r>
        <w:t>https://mcp.opencaselaw.ch/entscheid/bger_9C_529_2010</w:t>
      </w:r>
    </w:p>
    <w:p>
      <w:r>
        <w:t>FR: TF 9C 529/2010 du 24 janvier 2011</w:t>
      </w:r>
    </w:p>
    <w:p>
      <w:r>
        <w:t>IT: TF 9C 529/2010 del 24 gennaio 2011</w:t>
      </w:r>
    </w:p>
    <w:p>
      <w:pPr>
        <w:pStyle w:val="Heading2"/>
      </w:pPr>
      <w:r>
        <w:t>Regeste</w:t>
      </w:r>
    </w:p>
    <w:p>
      <w:r>
        <w:t>Assicurazione per l'invalidità | Assurance-invalidité</w:t>
      </w:r>
    </w:p>
    <w:p>
      <w:pPr>
        <w:pStyle w:val="Heading2"/>
      </w:pPr>
      <w:r>
        <w:t>Erwägungen</w:t>
      </w:r>
    </w:p>
    <w:p>
      <w:r>
        <w:rPr>
          <w:b/>
        </w:rPr>
        <w:t>E. 1.1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1.2</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Ces principes s'appliquent également en ce qui concerne la question de savoir si la capacité de travail, respectivement l'incapacité de travail, de l'assuré s'est modifiée d'une manière déterminante sous l'angle de la révision au cours d'une certaine période (par exemple arrêts 9C_413/2008 du 14 novembre 2008 et 9C_270/2008 du 12 août 2008).</w:t>
      </w:r>
    </w:p>
    <w:p>
      <w:r>
        <w:rPr>
          <w:b/>
        </w:rPr>
        <w:t>E. 2</w:t>
      </w:r>
    </w:p>
    <w:p>
      <w:r>
        <w:t>Le litige, relatif au droit du recourant à une rente entière d'invalidité jusqu'au 30 septembre 2003, porte sur le point de savoir s'il a droit dès le 1er octobre 2003 à une demi-rente d'invalidité, singulièrement sur la capacité de travail et la portée de l'évaluation de l'invalidité de l'assurance-accidents pour l'assurance-invalidité.</w:t>
      </w:r>
    </w:p>
    <w:p>
      <w:r>
        <w:rPr>
          <w:b/>
        </w:rPr>
        <w:t>E. 2.1</w:t>
      </w:r>
    </w:p>
    <w:p>
      <w:r>
        <w:t>Les règles et principes jurisprudentiels sur la révision du droit à une rente d'invalidité ( art. 17 al. 1 LPGA ; ATF 130 V 343 consid. 3.5 p. 349; voir également ATF 133 V 545 ) sont applicables lorsque la décision de l'assurance-invalidité accordant une rente avec effet rétroactif prévoit en même temps la suppression de cette rente ( ATF 131 V 164 consid. 2.2 p. 165, 125 V 413 consid. 2d p. 417 s. et les références).</w:t>
      </w:r>
    </w:p>
    <w:p>
      <w:r>
        <w:rPr>
          <w:b/>
        </w:rPr>
        <w:t>E. 2.2</w:t>
      </w:r>
    </w:p>
    <w:p>
      <w:r>
        <w:t>Le jugement entrepris expose correctement les dispositions légales relatives aux notions d'incapacité de gain ( art. 7 al. 1 et 2 LPGA depuis le 1er janvier 2008) et d'invalidité ( art. 4 al. 1 LAI et 8 al. 1 LPGA). On peut ainsi y renvoyer.</w:t>
      </w:r>
    </w:p>
    <w:p>
      <w:r>
        <w:rPr>
          <w:b/>
        </w:rPr>
        <w:t>E. 3</w:t>
      </w:r>
    </w:p>
    <w:p>
      <w:r>
        <w:t>La juridiction cantonale, se fondant sur les conclusions du docteur I.________ dans son rapport du 2 octobre 2006, dont elle a admis qu'il remplissait les critères jurisprudentiels ( ATF 125 V 351 consid. 3a p. 352) qui permettent de lui reconnaître pleine valeur probante, a retenu que, sur le plan somatique, la capacité de travail du recourant était entière dans une activité adaptée et qu'il en allait de même, sur le plan psychique, dans toute activité. Constatant que le degré d'invalidité était de 17,43 %, taux insuffisant pour ouvrir droit à une rente d'invalidité, elle a considéré que c'était à bon droit que l'office AI avait supprimé le droit à la rente du recourant au 30 septembre 2003, soit trois mois après l'amélioration de son état de santé.</w:t>
      </w:r>
    </w:p>
    <w:p>
      <w:r>
        <w:rPr>
          <w:b/>
        </w:rPr>
        <w:t>E. 3.1</w:t>
      </w:r>
    </w:p>
    <w:p>
      <w:r>
        <w:t>L'autorité précédente a rejeté l'argument du recourant fondé sur les rapports d'expertise prétendument concordants des docteurs G.________ du 20 mai 2005 et S.________ du 3 mai 2007. Elle a relevé que l'évaluation du docteur S.________ n'était pas convaincante et qu'il convenait dès lors de s'en écarter, vu qu'elle ne reposait pas sur des éléments objectifs puisque l'incapacité de travail n'avait pas été estimée par le médecin seul, mais avait été fixée sur le plan psychique à 16 % en déduisant le taux de 34 % d'incapacité de gain admis par la CNA dans sa décision du 30 août 2005 du taux de 50 % auquel l'assuré acceptait de travailler selon la proposition de l'expert. Cela n'est nullement discuté par le recourant, qui sans autre explication nie tout défaut d'objectivité de l'expertise du 3 mai 2007. On relèvera tout de même que le docteur S.________ ne s'est en aucun cas prononcé sur l'exigibilité en ce qui concerne la capacité de travail dans une activité adaptée aux limitations fonctionnelles et qu'ainsi, faute d'avoir dûment motivé ses conclusions, son rapport du 3 mai 2007 n'a pas pleine valeur probante ( ATF 125 V 351 consid. 3a p. 352; 122 V 157 consid. 1c p. 160 et les références). Quant à l'expertise du docteur G.________ et de la psychologue D.________ du 20 mai 2005, la juridiction cantonale a considéré qu'il convenait de s'écarter de leurs conclusions et retenu que l'incapacité de travail n'apparaissait pas comme pertinente ni fondée et qu'en l'absence de compliance au traitement anti-dépresseur, le recourant n'avait pas entrepris tout ce qui était exigible de sa part pour diminuer le dommage, ce que celui-ci ne discute pas. Elle a relevé que l'expertise du 20 mai 2005 était discutée par le docteur I.________ dans son rapport du 2 octobre 2006, lequel avait estimé que l'incapacité de travail retenue par le docteur G.________ n'était pas justifiée. Quoi qu'en dise le recourant, l'évaluation de l'incapacité de travail par le docteur G.________ et la psychologue D.________ ne repose pas sur un examen de la capacité de travail exigible dans une activité adaptée aux limitations fonctionnelles et leurs conclusions ne sont donc pas dûment motivées, de sorte que l'expertise du 20 mai 2005 ne saurait avoir pleine valeur probante ( ATF 125 V 351 consid. 3a p. 352; 122 V 157 consid. 1c p. 160 déjà cités). Le recours est mal fondé de ce chef.</w:t>
      </w:r>
    </w:p>
    <w:p>
      <w:r>
        <w:rPr>
          <w:b/>
        </w:rPr>
        <w:t>E. 3.2</w:t>
      </w:r>
    </w:p>
    <w:p>
      <w:r>
        <w:t>Selon la jurisprudence ( ATF 133 V 549 consid. 6 p. 553 s.), l'assurance-invalidité n'est pas liée par l'évaluation de l'invalidité de l'assurance-accidents au sens de l' ATF 126 V 288 . Dans la mesure où le recourant, se référant à l'arrêt ATF 126 V 288 , laisse entendre que l'assurance-invalidité est liée, en principe, par l'évaluation de l'invalidité de l'assurance-accidents et qu'il n'existe en l'espèce aucun motif de s'écarter du taux d'invalidité de 50 % fixé par la CNA dans sa décision du 28 juin 2007, son argumentation n'est pas pertinente. Les arrêts auxquels il se réfère 9C_858/2008 du 17 février 2009 (in SVR 2009 IV n° 29 p. 83) et 9C_431/2008 du 26 février 2009 (in SVR 2009 IV n° 30 p. 85) ne lui sont d'aucun secours.</w:t>
      </w:r>
    </w:p>
    <w:p>
      <w:r>
        <w:rPr>
          <w:b/>
        </w:rPr>
        <w:t>E. 3.3</w:t>
      </w:r>
    </w:p>
    <w:p>
      <w:r>
        <w:t>La juridiction cantonale, constatant que le degré d'invalidité du recourant était de 17,43 %, a admis que les conditions étaient ainsi réunies pour supprimer son droit à une rente entière d'invalidité au 30 septembre 2003. Le jugement entrepris est dès lors conforme au droit fédéral (supra, consid. 2.1). Le recours est mal fondé.</w:t>
      </w:r>
    </w:p>
    <w:p>
      <w:r>
        <w:rPr>
          <w:b/>
        </w:rPr>
        <w:t>E. 4</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