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9C_528/2022 vom 2. Dezember 2022</w:t>
      </w:r>
    </w:p>
    <w:p>
      <w:r>
        <w:t>Bundesgericht, 2022-12-02, DE</w:t>
      </w:r>
    </w:p>
    <w:p>
      <w:r>
        <w:rPr>
          <w:b/>
        </w:rPr>
        <w:t xml:space="preserve">Quelle: </w:t>
      </w:r>
      <w:r>
        <w:t>https://mcp.opencaselaw.ch/entscheid/bger_9C_528_2022</w:t>
      </w:r>
    </w:p>
    <w:p>
      <w:r>
        <w:t>FR: TF 9C_528/2022 du 2 décembre 2022</w:t>
      </w:r>
    </w:p>
    <w:p>
      <w:r>
        <w:t>IT: TF 9C_528/2022 del 2 dicembre 2022</w:t>
      </w:r>
    </w:p>
    <w:p>
      <w:pPr>
        <w:pStyle w:val="Heading2"/>
      </w:pPr>
      <w:r>
        <w:t>Volltext</w:t>
      </w:r>
    </w:p>
    <w:p>
      <w:r>
        <w:t>Bundesgericht</w:t>
      </w:r>
    </w:p>
    <w:p>
      <w:r>
        <w:t>Tribunal fédéral</w:t>
      </w:r>
    </w:p>
    <w:p>
      <w:r>
        <w:t>Tribunale federale</w:t>
      </w:r>
    </w:p>
    <w:p>
      <w:r>
        <w:t>Tribunal federal</w:t>
      </w:r>
    </w:p>
    <w:p>
      <w:r>
        <w:t>9C_528/2022</w:t>
      </w:r>
    </w:p>
    <w:p>
      <w:r>
        <w:t>Urteil vom 2. Dezember 2022</w:t>
      </w:r>
    </w:p>
    <w:p>
      <w:r>
        <w:t>II. sozialrechtliche Abteilung</w:t>
      </w:r>
    </w:p>
    <w:p>
      <w:r>
        <w:t>Besetzung</w:t>
      </w:r>
    </w:p>
    <w:p>
      <w:r>
        <w:t>Bundesrichter Parrino, Präsident,</w:t>
      </w:r>
    </w:p>
    <w:p>
      <w:r>
        <w:t>Gerichtsschreiber Nabold.</w:t>
      </w:r>
    </w:p>
    <w:p>
      <w:r>
        <w:t>Verfahrensbeteiligte</w:t>
      </w:r>
    </w:p>
    <w:p>
      <w:r>
        <w:t>A.A________ und A.B.________,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 vom 2. September 2022 (AB.2021.00099).</w:t>
      </w:r>
    </w:p>
    <w:p>
      <w:r>
        <w:t>Nach Einsicht</w:t>
      </w:r>
    </w:p>
    <w:p>
      <w:r>
        <w:t>in die Beschwerde vom 14. November 2022 gegen ein Urteil des Sozialversicherungsgerichts des Kantons Zürich vom 2. September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den Einspracheentscheid der Ausgleichskasse des Kantons Zürich vom 14. Oktober 2021 betreffend persönlicher Beiträge für das Jahr 2015 bestätigte,</w:t>
      </w:r>
    </w:p>
    <w:p>
      <w:r>
        <w:t>dass das Einkommen aus selbstständiger Erwerbstätigkeit und das im Betrieb eingesetzte eigene Kapital in Anwendung von Art. 9 Abs. 3 AHVG von den kantonalen Steuerbehörden ermittelt und den Ausgleichskassen gemeldet werden und die betreffenden Angaben der Steuerbehörden kraft Art. 23 Abs. 4 AHVV für die Ausgleichskasse absolut, für das kantonale Sozialversicherungsgericht relativ verbindlich sind (SVR 2022 AHV Nr. 18 S. 51; 9C_270/2021 E. 3.4 mit weiteren Hinweisen),</w:t>
      </w:r>
    </w:p>
    <w:p>
      <w:r>
        <w:t>dass das kantonale Gericht erwogen hat, die Meldung des Einkommens durch die Steuerbehörden beruhe auf einer rechtskräftigen Steuerveranlagung und sei daher grundsätzlich verbindlich,</w:t>
      </w:r>
    </w:p>
    <w:p>
      <w:r>
        <w:t>dass die Beschwerdeführer nicht darlegen, inwieweit diese entscheidwesentliche Erwägung bundesrechtswidrig sein soll, sondern sich darauf beschränken, in rein appellatorischer Weise geltend zu machen, das von den Steuerbehörde ermittelte Einkommen sei zu hoch eingeschätzt,</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IV. Kammer, und dem Bundesamt für Sozialversicherungen schriftlich mitgeteilt.</w:t>
      </w:r>
    </w:p>
    <w:p>
      <w:r>
        <w:t>Luzern, 2. Dezember 2022</w:t>
      </w:r>
    </w:p>
    <w:p>
      <w:r>
        <w:t>Im Namen der II. sozialrechtlichen Abteilung</w:t>
      </w:r>
    </w:p>
    <w:p>
      <w:r>
        <w:t>des Schweizerischen Bundesgerichts</w:t>
      </w:r>
    </w:p>
    <w:p>
      <w:r>
        <w:t>Der Einzelrichter: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