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9C_528/2015 vom 16. September 2015</w:t>
      </w:r>
    </w:p>
    <w:p>
      <w:r>
        <w:t>Bundesgericht, 2015-09-16, DE</w:t>
      </w:r>
    </w:p>
    <w:p>
      <w:r>
        <w:rPr>
          <w:b/>
        </w:rPr>
        <w:t xml:space="preserve">Quelle: </w:t>
      </w:r>
      <w:r>
        <w:t>https://mcp.opencaselaw.ch/entscheid/bger_9C_528_2015</w:t>
      </w:r>
    </w:p>
    <w:p>
      <w:r>
        <w:t>FR: TF 9C_528/2015 du 16 septembre 2015</w:t>
      </w:r>
    </w:p>
    <w:p>
      <w:r>
        <w:t>IT: TF 9C_528/2015 del 16 settembre 2015</w:t>
      </w:r>
    </w:p>
    <w:p>
      <w:pPr>
        <w:pStyle w:val="Heading2"/>
      </w:pPr>
      <w:r>
        <w:t>Volltext</w:t>
      </w:r>
    </w:p>
    <w:p>
      <w:r>
        <w:t>Bundesgericht</w:t>
      </w:r>
    </w:p>
    <w:p>
      <w:r>
        <w:t>Tribunal fédéral</w:t>
      </w:r>
    </w:p>
    <w:p>
      <w:r>
        <w:t>Tribunale federale</w:t>
      </w:r>
    </w:p>
    <w:p>
      <w:r>
        <w:t>Tribunal federal</w:t>
      </w:r>
    </w:p>
    <w:p>
      <w:r>
        <w:t>9C_528/2015 {T 0/2}</w:t>
      </w:r>
    </w:p>
    <w:p>
      <w:r>
        <w:t>Urteil vom 16. September 2015</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25. Juni 2015.</w:t>
      </w:r>
    </w:p>
    <w:p>
      <w:r>
        <w:t>Nach Einsicht</w:t>
      </w:r>
    </w:p>
    <w:p>
      <w:r>
        <w:t>in die Beschwerde vom 22. Juli 2015 gegen den Entscheid des Bundesverwaltungsgerichts vom 25. Juni 2015,</w:t>
      </w:r>
    </w:p>
    <w:p>
      <w:r>
        <w:t>in die Mitteilung des Bundesgerichts vom 29. Juli 2015 an A.________, worin auf die gesetzlichen Formerfordernisse von Beschwerden hinsichtlich Begehren und Begründung sowie auf die nur innert der Rechtsmittelfrist noch bestehende Verbesserungsmöglichkeit hingewiesen worden ist,</w:t>
      </w:r>
    </w:p>
    <w:p>
      <w:r>
        <w:t>in die von A.________ am 3. August 2015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Eingaben der Beschwerdeführerin vom 22. Juli 2015 und vom 3. August 2015 diesen inhaltlichen Mindestanforderungen offensichtlich nicht genügen, da den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w:t>
      </w:r>
    </w:p>
    <w:p>
      <w:r>
        <w:t>dass dies insbesondere der Fall ist in Bezug auf die Erwägungen der Vorinstanz, wonach die von der Beschwerdeführerin zum Beweis offerierten Unterlagen (Arbeitgeberliste, Visa, Ein- und Ausreisestempel im Pass sowie Aufenthaltsbewilligungen) für die anrechenbaren Beitragszeiten - anders als dies z.B. Lohnausweise, Lohnabrechnungen oder Zahltagstäschchen wären - nicht aussagekräftig seien,</w:t>
      </w:r>
    </w:p>
    <w:p>
      <w:r>
        <w:t>dass der Beitragsmonat Januar 1978 für die Tätigkeit bei der B.________ AG in E. 5 des angefochtenen Entscheids berücksichtigt und folglich eine Beitragszeit von insgesamt drei Monaten anerkannt wurde,</w:t>
      </w:r>
    </w:p>
    <w:p>
      <w:r>
        <w:t>dass dies indessen nichts daran ändert, dass Anspruch auf eine ordentliche Altersrente nur bei Vorliegen eines vollen Beitragsjahres besteht ( Art. 29 Abs. 1 AHVG ), wobei ein solches vorliegt, wenn eine Person länger als elf Monate versichert war ( Art. 50 AHVV ),</w:t>
      </w:r>
    </w:p>
    <w:p>
      <w:r>
        <w:t>dass der entsprechende Einwand der Beschwerdeführerin somit unbehelflich ist,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16. September 2015</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