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9C_528/2008 vom 26. März 2009</w:t>
      </w:r>
    </w:p>
    <w:p>
      <w:r>
        <w:t>Bundesgericht, 2009-03-26, DE</w:t>
      </w:r>
    </w:p>
    <w:p>
      <w:r>
        <w:rPr>
          <w:b/>
        </w:rPr>
        <w:t xml:space="preserve">Quelle: </w:t>
      </w:r>
      <w:r>
        <w:t>https://mcp.opencaselaw.ch/entscheid/bger_9C_528_2008</w:t>
      </w:r>
    </w:p>
    <w:p>
      <w:r>
        <w:t>FR: TF 9C_528/2008 du 26 mars 2009</w:t>
      </w:r>
    </w:p>
    <w:p>
      <w:r>
        <w:t>IT: TF 9C_528/2008 del 26 marzo 2009</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 Noven sind unzulässig ( Art. 99 Abs. 1 BGG ).</w:t>
      </w:r>
    </w:p>
    <w:p>
      <w:r>
        <w:rPr>
          <w:b/>
        </w:rPr>
        <w:t>E. 2</w:t>
      </w:r>
    </w:p>
    <w:p>
      <w:r>
        <w:t>Streitig und zu prüfen ist, ob die Beschwerdeführerin Anspruch auf Leistungen der Invalidenversicherung (Rente, berufliche Massnahmen) hat, und in diesem Zusammenhang namentlich die Frage, ob der medizinische Sachverhalt genügend abgeklärt ist.</w:t>
      </w:r>
    </w:p>
    <w:p>
      <w:r>
        <w:rPr>
          <w:b/>
        </w:rPr>
        <w:t>E. 2.1</w:t>
      </w:r>
    </w:p>
    <w:p>
      <w:r>
        <w:t>Die Vorinstanz gelangte, insbesondere gestützt auf das MEDAS-Gutachten des Spitals X.________ vom 18. Juli 2006 und unter Berücksichtigung der dasselbe kritisierenden Stellungnahme des Instituts Y.________ vom 21. November 2006, zum Ergebnis, dass die Beschwerdeführerin für körperlich leichte Arbeiten, insbesondere für eine Bürotätigkeit, wie sie sie im Betrieb des Ehemannes ausübe, vollständig arbeitsfähig sei.</w:t>
      </w:r>
    </w:p>
    <w:p>
      <w:r>
        <w:rPr>
          <w:b/>
        </w:rPr>
        <w:t>E. 2.2</w:t>
      </w:r>
    </w:p>
    <w:p>
      <w:r>
        <w:t>Entgegen der in der Beschwerde geäusserten Auffassung ist diese Sachverhaltsfeststellung weder offensichtlich unrichtig noch beruht sie auf einer qualifiziert unrichtigen oder gar willkürlichen Beweiswürdigung. Namentlich hat bereits das kantonale Gericht einlässlich dargetan, weshalb die Kritik des Instituts Y.________ vom 21. November 2006 den Beweiswert des MEDAS-Gutachtens vom 18. Juli 2006 nicht zu schmälern vermag. Soweit in der Beschwerde gerügt wird, die Experten der MEDAS hätten sich nicht explizit mit den Vorakten, welche sie zudem in unübersichtlicher Weise zusammengefasst hätten, auseinandergesetzt, sei darauf hingewiesen, dass dies von der Rechtsprechung auch nicht verlangt wird. Vielmehr ist in diesem Zusammenhang nur - aber immerhin - erforderlich, dass das Gutachten in Kenntnis der Vorakten (Anamnese) abgegeben wurde ( BGE 125 V 351 E. 3a S. 352). Es ist daher auch nicht von Belang, dass die Vorakten teilweise ohne Angaben zum Inhalt nur aufgelistet wurden, wie in der Beschwerde kritisiert wird. Sodann wird weder geltend gemacht noch ist sonst ersichtlich, dass ein Haupt- oder Teilgutachter ein relevantes medizinisches Aktenstück übersehen hätte. Unzutreffend ist des Weitern die Behauptung, dass die Teilgutachter nur über die Aktenzusammenfassung verfügt oder die Akten jedenfalls nicht konsultiert hätten (vgl. internistisches Teilgutachten vom 16. Juni 2006 und Stellungnahme der MEDAS vom 19. Februar 2007). Unbegründet sind auch die an der Interdisziplinarität der MEDAS-Begutachtung geäusserten Zweifel; dass den beigezogenen Fachärzten bereits vor ihrer eigenen Stellungnahme ein Entwurf des Hauptgutachtens zur Verfügung gestellt worden ist, wie die Beschwerdeführerin geltend macht, gibt zu keinen Beanstandungen Anlass, soweit die Beurteilungsgrundlage für die betreffenden Teilgutachter dadurch nicht unvollständig ist (vgl. auch Urteil 9C_531/2007 vom 3. Juni 2008 E. 2.2.2). Letztes ist hier offensichtlich nicht der Fall, nachdem sich die psychiatrische und die internistische Teilgutachterin ebenso wie der neurologische Teilgutachter auf eigene Untersuchungen gestützt haben.</w:t>
      </w:r>
    </w:p>
    <w:p>
      <w:r>
        <w:rPr>
          <w:b/>
        </w:rPr>
        <w:t>E. 2.3</w:t>
      </w:r>
    </w:p>
    <w:p>
      <w:r>
        <w:t>Da nach dem Gesagten der vorinstanzlich festgestellte Sachverhalt nach beweisrechtlichen Gesichtspunkten hinlänglich abgestützt ist, entfällt die Notwendigkeit der in der Beschwerde beantragten weiteren Begutachtungen. Sind die vorinstanzlichen Feststellungen zur Arbeitsfähigkeit der Beschwerdeführerin für das Bundesgericht mithin verbindlich (E. 1), ist die im angefochtenen Entscheid bestätigte Verneinung eines Leistungsanspruchs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