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9C_527/2019 vom 4. Mai 2020</w:t>
      </w:r>
    </w:p>
    <w:p>
      <w:r>
        <w:t>Bundesgericht, 2020-05-04, DE</w:t>
      </w:r>
    </w:p>
    <w:p>
      <w:r>
        <w:rPr>
          <w:b/>
        </w:rPr>
        <w:t xml:space="preserve">Quelle: </w:t>
      </w:r>
      <w:r>
        <w:t>https://mcp.opencaselaw.ch/entscheid/bger_9C_527_2019</w:t>
      </w:r>
    </w:p>
    <w:p>
      <w:r>
        <w:t>FR: TF 9C_527/2019 du 4 mai 2020</w:t>
      </w:r>
    </w:p>
    <w:p>
      <w:r>
        <w:t>IT: TF 9C_527/2019 del 4 maggio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145 V 57 E. 4 S. 61 f.).</w:t>
      </w:r>
    </w:p>
    <w:p>
      <w:r>
        <w:rPr>
          <w:b/>
        </w:rPr>
        <w:t>E. 2</w:t>
      </w:r>
    </w:p>
    <w:p>
      <w:r>
        <w:t>Strittig ist, ob die Vorinstanz zu Recht einen Anspruch auf Verzugszins für die Zeit vor Zustellung des Zahlungsbefehls (am 12. Oktober 2017) verneinte und im Umfang der von der Auffangeinrichtung verfügten Verzugszinsen für den Zeitraum bis 22. September 2017 (erklärtes Fälligkeitsdatum der Beitragsrechnung vom 1. Juli 2017) die Aufhebung des Rechtsvorschlags in der hängigen Betreibung verweigerte.</w:t>
      </w:r>
    </w:p>
    <w:p>
      <w:r>
        <w:rPr>
          <w:b/>
        </w:rPr>
        <w:t>E. 3.1</w:t>
      </w:r>
    </w:p>
    <w:p>
      <w:r>
        <w:t>Das Bundesverwaltungsgericht erwog hierzu im Wesentlichen, es habe in einem ersten Rechtsgang (Entscheid des Bundesverwaltungsgerichts C-1899/2011 vom 15. Oktober 2013 E. 5.5.2 und 5.5.4) festgehalten, gemäss Artikel 4 Absätzen 6 und 7 der in concreto anwendbaren Anschlussbedingungen der Auffangeinrichtung könnten Zinsen erst ab Datum einer schriftlichen Mahnung verlangt werden. Darauf habe sich die Arbeitgeberin in guten Treuen berufen dürfen. Entsprechend habe mit Entscheid vom 24. Juni 2019 nicht entschieden werden müssen, ob tatsächlich ein Verfalltag vorliege oder (für die Fälligstellung der Forderung) eine Mahnung erforderlich sei. Es stellte sodann fest, die Zustellung von Mahnungen sei bestritten und nicht nachgewiesen, obschon zumindest die Mahnung vom 24. August 2017 gemäss den Akten per Einschreiben versandt worden sei. Ein Zahlungsbefehl sei indes einer Mahnung gleichgestellt. Die Vorinstanz schloss, massgebender Zeitpunkt für den Beginn des Verzugszinsenlaufs sei demnach das Datum des Zahlungsbefehls vom 12. Oktober 2017.</w:t>
      </w:r>
    </w:p>
    <w:p>
      <w:r>
        <w:rPr>
          <w:b/>
        </w:rPr>
        <w:t>E. 3.2</w:t>
      </w:r>
    </w:p>
    <w:p>
      <w:r>
        <w:t>Die Beschwerdeführerin wirft dem Bundesverwaltungsgericht vor, es sei in Verletzung von Art. 61 VwVG bzw. Art. 9 BV von einer Bindungswirkung seines Rückweisungsentscheids vom 15. Oktober 2013 (BVGer C-1899/2011) bzw. von einem schützenswerten Vertrauen in die darin geäusserte Rechtsauffassung ausgegangen. Zwischen diesem und dem angefochtenen Entscheid vom 24. Juni 2019 sei eine Rechts- bzw. Praxisänderung erfolgt. Mit Verweis auf Urteil des BVGer A-555/2018 vom 30. Januar 2019 E. 5.3 macht sie geltend, nach neuer Rechtspraxis sei eine Mahnung für den Beginn des Verzugszinsenlaufs nicht notwendig. Dementsprechend entfalle die Bindung an den früheren Rückweisungsentscheid. Vielmehr sei das Bundesverwaltungsgericht gehalten gewesen, die neue Rechtsprechung auf den hängigen Fall anzuwenden. Die Arbeitgeberin habe aufgrund des Rückweisungsurteils keine Dispositionen getroffen, die sie nicht mehr habe rückgängig machen können. Die Voraussetzungen für eine Berufung auf Vertrauensschutz ( Art. 9 BV ) seien demnach nicht erfüllt gewesen.</w:t>
      </w:r>
    </w:p>
    <w:p>
      <w:r>
        <w:rPr>
          <w:b/>
        </w:rPr>
        <w:t>E. 4</w:t>
      </w:r>
    </w:p>
    <w:p>
      <w:r>
        <w:t>Wie es sich - insbesondere mit Blick auf den in zeitlicher Hinsicht offensichtlich nicht deckungsgleichen Streitgegenstand - mit der Bindung der Vorinstanz an ihren Rückweisungsentscheid vom 15. Oktober 2013 verhält, kann offen bleiben. So oder anders bindet die darin vertretene Rechtsauffassung nicht das Bundesgericht. Dieses hat sich mit der Sache noch zu keinem Zeitpunkt befasst und überprüft demnach die Rechtsanwendung der Vorinstanz frei (oben E. 1).</w:t>
      </w:r>
    </w:p>
    <w:p>
      <w:r>
        <w:rPr>
          <w:b/>
        </w:rPr>
        <w:t>E. 5</w:t>
      </w:r>
    </w:p>
    <w:p>
      <w:r>
        <w:t>Materiell ist zu prüfen, ob die Auffangeinrichtung in casu Anspruch hat auf Verzugszins für die Zeit vor Zustellung des Zahlungsbefehls (am 12. Oktober 2017). Strittig ist dabei einzig ein Verzugszinsanspruch für den Zeitraum nach erfolgtem Zwangsanschluss. Nicht Streitthema ist insbesondere die Fälligkeit von rückwirkend für die Zeit vor einem rechtsgestaltenden Zwangsanschluss gestützt auf Art. 60 Abs. 2 lit. a BVG erhobenen Beiträgen (vgl. dazu etwa BGE 136 V 73 E. 3.2.1 S. 77).</w:t>
      </w:r>
    </w:p>
    <w:p>
      <w:r>
        <w:rPr>
          <w:b/>
        </w:rPr>
        <w:t>E. 5.1</w:t>
      </w:r>
    </w:p>
    <w:p>
      <w:r>
        <w:t>Art. 66 Abs. 2 BVG erlaubt der Vorsorgeeinrichtung, für nicht rechtzeitig bezahlte Beiträge Verzugszinsen zu verlangen. Der Fälligkeitstermin richtet sich nach Art. 66 Abs. 4 BVG oder nach Reglement ( BGE 136 V 73 E. 3.1 S. 76 und E. 3.3 S. 78).</w:t>
      </w:r>
    </w:p>
    <w:p>
      <w:r>
        <w:rPr>
          <w:b/>
        </w:rPr>
        <w:t>E. 5.2</w:t>
      </w:r>
    </w:p>
    <w:p>
      <w:r>
        <w:t>Nach gesetzlicher Fälligkeitsregel von Art. 66 Abs. 4 BVG sind Beiträge bis spätestens zum Ende des ersten Monats nach dem Kalender- oder Versicherungsjahr, für das sie geschuldet sind, an die Vorsorgeeinrichtung zu überweisen. Die hier massgebenden, gegenüber der A.________ AG geltenden "Anschlussbedingungen der Auffangeinrichtung infolge Zwangsanschluss gemäss Art. 11 BVG oder Art. 12 BVG " sehen in Artikel 4 Absätzen 6 und 7 vor was folgt:</w:t>
      </w:r>
    </w:p>
    <w:p>
      <w:r>
        <w:t>"Die Beiträge gemäss jeweils gültigem Reglement bzw. jeweils gültiger Beitragsordnung werden ihm [dem Arbeitgeber] vierteljährlich in Rechnung gestellt. Sie sind jeweils am 1. März, 1. Juni, 1. September und 1. Dezember fällig und zahlbar innert 30 Tagen nach Fälligkeit. Bei verspäteter Zahlung kann die Stiftung Zinsen auf die ausstehenden Beiträge erheben. Ausstehende Beiträge werden gemahnt.</w:t>
      </w:r>
    </w:p>
    <w:p>
      <w:r>
        <w:t>Wenn der Arbeitgeber die Mahnung nicht beachtet, fordert die Stiftung die ausstehenden Beiträge samt Zinsen und Kosten ein. Die Zinsen werden mit den vom Stiftungsrat festgesetzten Verzugszinssätzen und ab Fälligkeit der Beiträge berechnet. Mahnung und Betreibung sind kostenpflichtig. Der Arbeitgeber anerkennt die von der Stiftung erstellten Beitragsrechnungen und Mahnungen, sofern er nicht binnen 20 Tagen nach Zustellung begründet Einspruch erhebt."</w:t>
      </w:r>
    </w:p>
    <w:p>
      <w:r>
        <w:rPr>
          <w:b/>
        </w:rPr>
        <w:t>E. 5.3</w:t>
      </w:r>
    </w:p>
    <w:p>
      <w:r>
        <w:t>Die Auslegung der zitierten Reglementsbestimmung geschieht nach dem Vertrauensprinzip: Zwar kommt der Auffangeinrichtung Verfügungshoheit zu bezüglich des Zwangsanschlusses, des Beitragsinkassos, der Regelung des Zuschlages bei ausstehenden Beiträgen sowie der Verfügung der Verzugszinsen. Hingegen bleiben die Anschlussbedingungen, auf deren Basis sie etwa die Verzugszinsforderung verfügt, privatrechtlicher Natur, unterliegt die Auffangeinrichtung doch bei der Durchführung der obligatorischen beruflichen Vorsorge grundsätzlich den gleichen Regeln wie andere Vorsorgeeinrichtungen, soweit sie nicht - wie gesagt - punktuell mit hoheitlichen Befugnissen ausgestattet wurde (Urteil 9C_141/2013 vom 7. April 2013 E. 2.1 mit Hinweisen; in diesem Sinne auch bereits BGE 115 V 375 E. 5b S. 381). Demzufolge sind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Das Ergebnis der Auslegung nach dem Vertrauensgrundsatz und in Anwendung der Unklarheits- und Ungewöhnlichkeitsregel kann vom Bundesgericht als Rechtsfrage frei überprüft werden ( BGE 143 V 321 E. 3.1 S. 326 mit Hinweisen).</w:t>
      </w:r>
    </w:p>
    <w:p>
      <w:r>
        <w:rPr>
          <w:b/>
        </w:rPr>
        <w:t>E. 5.3.1</w:t>
      </w:r>
    </w:p>
    <w:p>
      <w:r>
        <w:t>Artikel 4 Absatz 6 der Anschlussbestimmungen lässt sich ohne Weiteres entnehmen, dass die Beitragsforderungen jeweils zu fixen Terminen fällig werden, die Zahlung bis spätestens 30 Tage nach Fälligkeit zu erfolgen hat und die Auffangeinrichtung bei verspäteter Zahlung Zinsen erheben kann. Nach dem klaren Wortlaut tritt demnach die Fälligkeit grundsätzlich zu fixen Terminen ein, jedoch gewährt die Vorsorgeeinrichtung vorab eine Zahlungsfrist von 30 Tagen. Läuft diese unbenutzt ab, werden die ausstehenden Beiträge gemahnt.</w:t>
      </w:r>
    </w:p>
    <w:p>
      <w:r>
        <w:rPr>
          <w:b/>
        </w:rPr>
        <w:t>E. 5.3.2</w:t>
      </w:r>
    </w:p>
    <w:p>
      <w:r>
        <w:t>Artikel 4 Absatz 7 der Anschlussbestimmungen enthält sodann eine nähere Regelung der Verzugszinsen, die gemäss Gesetz (vgl. E. 5.1) und dem vorstehenden Absatz 6 erhoben werden können. Demnach werden Verzugszinsen erhoben, wenn der Arbeitgeber - auch - die Mahnung (als Folge des Verpassens der 30-tägigen Zahlungsfrist) nicht beachtet, wobei die Zinsen nicht ab Datum der Mahnung, sondern explizit ab Fälligkeit der Beiträge geschuldet sind. Mit dieser Formulierung bringt die Auffangeinrichtung unmissverständlich zum Ausdruck, dass sich der Schuldner ab den fixierten Fälligkeitsterminen in Verzug befindet, indes von der Geltendmachung von Verzugszinsen abgesehen wird, wenn er entweder innert einer Zahlungsfrist von 30 Tagen ab Fälligkeit oder auf Mahnung hin bezahlt. Die Erhebung von Verzugszinsen steht mithin unter der Bedingung, dass die Zahlung nicht - spätestens - innert einer mit Mahnung angesetzten Nachfrist erfolgt. Verstreicht diese unbenutzt, sind Verzugszinsen ab dem reglementarischen Fälligkeitstermin und nicht erst ab Datum der Mahnung geschuldet.</w:t>
      </w:r>
    </w:p>
    <w:p>
      <w:r>
        <w:rPr>
          <w:b/>
        </w:rPr>
        <w:t>E. 5.3.3</w:t>
      </w:r>
    </w:p>
    <w:p>
      <w:r>
        <w:t>Zusammenfassend ist festzuhalten, dass die von der Auffangeinrichtung getroffene Fälligkeits- und Verzugszins-Regelung eine Lösung sui generis darstellt. Darin werden einzelne Elemente des Obligationenrechts aufgenommen (vgl. Art. 102 OR ), deren "Wirkung" aber in eine eigene Abfolge gebracht. Sie ist verständlich geschrieben, in sich schlüssig und belässt keinen Interpretationsspielraum. Zudem ist sie zu Gunsten des Schuldners abgefasst, indem diesem mehrere Chancen der "verzugszinsfreien" Schuldbegleichung zugestanden werden. Ebensowenig ist ersichtlich und wird auch nicht (rechtsgenüglich) geltend gemacht, dass sie sich ausserhalb des gesetzlichen Rahmens sowie jenseits der verfassungsmässigen Schranken bewegt.</w:t>
      </w:r>
    </w:p>
    <w:p>
      <w:r>
        <w:t>Anzufügen bleibt, dass eine Mahnung etwa in einem Schreiben erfolgen kann, in dem die Zahlung verlangt wird, oder durch Zustellung eines Zahlungsbefehls (vgl. Sachverhalt lit. A.b). Dass die Zustellung eines Zahlungsbefehls eine Mahnung darstellt, ergibt sich folgerichtig aus der gesetzlichen Regelung zur Schuldbetreibung, die in Art. 69 Abs. 2 Ziff. 2 SchKG ausdrücklich vorsieht, dass der Zahlungsbefehl unter anderem "die Aufforderung (enthält), binnen 20 Tagen den Gläubiger für die Forderung samt Betreibungskosten zu befriedigen (...) ", und ist allgemein anerkannt (vgl. statt vieler Urteil 4A_302/2018 vom 17. Januar 2019 E. 3.2.1 mit Hinweisen).</w:t>
      </w:r>
    </w:p>
    <w:p>
      <w:r>
        <w:rPr>
          <w:b/>
        </w:rPr>
        <w:t>E. 5.4</w:t>
      </w:r>
    </w:p>
    <w:p>
      <w:r>
        <w:t>Die Feststellung der Vorinstanz, es seien Verzugszinsen von Fr. 49'136.25 mittels Verzugszinsenberechnung belegt, ist als solche weder bestritten noch offensichtlich unrichtig, und bindet deshalb das Bundesgericht (E. 1 hiervor). Antragsgemäss ist deshalb festzustellen, dass die Auffangeinrichtung Anspruch hat auf einen Verzugszins von Fr. 48'986.50 für den Zeitraum vor Zustellung des Zahlungsbefehls am 12. Oktober 2017 (Fr. 49'136.25 minus bereits bezahlter Verzugszins von Fr. 149.75; vgl. Art. 107 Abs. 1 BGG ).</w:t>
      </w:r>
    </w:p>
    <w:p>
      <w:r>
        <w:t>Hingegen kann dem Begehren der Beschwerdeführerin insoweit nicht stattgegeben werden, als sie letztinstanzlich die Rechtsöffnung verlangt unter anderem für einen Zins zu 5 % seit 12. Oktober 2017 auf dem Betrag von Fr. 277'853.45 (inkl. Verzugszinsen). Der Zins von 5 % seit 12. Oktober 2017 bleibt entsprechend dem vorinstanzlichen Entscheid lediglich auf dem - von dieser unangefochten festgestellten - Forderungsbetrag von Fr. 228'866.95 geschuldet, nicht aber auf den letztinstanzlich strittigen Verzugszinsen für den Zeitraum vor Zustellung des Zahlungsbefehls (vgl. nebst dem zwingenden Art. 105 Abs. 3 OR [Zinseszinsverbot] etwa auch Urteil 9C_180/2019 vom 2. März 2020 E. 3.2, wonach Zinsen grundsätzlich sowohl nach gesetzlicher als auch nach reglementarischer Bestimmung nur auf Beiträgen erlaubt sind; Urteil des Eidgenössischen Versicherungsgerichts vom 26. August 2004 B 106/03 E. 4.1 i.f.; RÉMY WYLER, in: Kommentar zum schweizerischen Sozialversicherungsrecht, BVG und FZG, 2. Aufl. 2019, N. 40 zu Art. 11 BVG ). Entsprechend ist die Rechtsöffnung im Betrag von Fr. 277'853.45 zuzüglich Zins zu 5 % seit 12. Oktober 2017 auf dem Betrag von Fr. 228'866.95 zu erteilen. Dass die Beschwerdegegnerin Verzugszinsen im Umfang von Fr. 149.75 ohne Rechtsgrund bezahlt hat und dieser Betrag daher auf die Verzugszinsen ab 12. Oktober 2017 anzurechnen ist (vorinstanzliche E. 6.6.3) blieb in der Beschwerdebegründung unangefochten.</w:t>
      </w:r>
    </w:p>
    <w:p>
      <w:r>
        <w:rPr>
          <w:b/>
        </w:rPr>
        <w:t>E. 6</w:t>
      </w:r>
    </w:p>
    <w:p>
      <w:r>
        <w:t>Nach dem Gesagten ist die Beschwerde teilweise begründet.</w:t>
      </w:r>
    </w:p>
    <w:p>
      <w:r>
        <w:rPr>
          <w:b/>
        </w:rPr>
        <w:t>E. 7</w:t>
      </w:r>
    </w:p>
    <w:p>
      <w:r>
        <w:t>Die zur Hauptsache unterliegende Beschwerdegegnerin trägt die Gerichtskosten ( Art. 66 Abs. 1 Satz 1 BGG ). Die Auffangeinrichtung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